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58E38E" w14:textId="77777777" w:rsidR="004157E1" w:rsidRDefault="004157E1" w:rsidP="007B377E">
      <w:pPr>
        <w:pStyle w:val="Paragraphedeliste"/>
        <w:spacing w:after="0"/>
        <w:ind w:left="0"/>
        <w:rPr>
          <w:b/>
          <w:color w:val="C00000"/>
          <w:sz w:val="8"/>
          <w:szCs w:val="8"/>
          <w:u w:val="single"/>
        </w:rPr>
      </w:pPr>
    </w:p>
    <w:p w14:paraId="201E8C10" w14:textId="77777777" w:rsidR="004157E1" w:rsidRDefault="004157E1" w:rsidP="007B377E">
      <w:pPr>
        <w:pStyle w:val="Paragraphedeliste"/>
        <w:spacing w:after="0"/>
        <w:ind w:left="0"/>
        <w:rPr>
          <w:b/>
          <w:color w:val="C00000"/>
          <w:sz w:val="8"/>
          <w:szCs w:val="8"/>
          <w:u w:val="single"/>
        </w:rPr>
      </w:pPr>
    </w:p>
    <w:p w14:paraId="4EF0149C" w14:textId="77777777" w:rsidR="004157E1" w:rsidRDefault="004157E1" w:rsidP="007B377E">
      <w:pPr>
        <w:pStyle w:val="Paragraphedeliste"/>
        <w:spacing w:after="0"/>
        <w:ind w:left="0"/>
        <w:rPr>
          <w:b/>
          <w:color w:val="C00000"/>
          <w:sz w:val="8"/>
          <w:szCs w:val="8"/>
          <w:u w:val="single"/>
        </w:rPr>
      </w:pPr>
    </w:p>
    <w:p w14:paraId="6B53737E" w14:textId="77777777" w:rsidR="004157E1" w:rsidRDefault="004157E1" w:rsidP="007B377E">
      <w:pPr>
        <w:pStyle w:val="Paragraphedeliste"/>
        <w:spacing w:after="0"/>
        <w:ind w:left="0"/>
        <w:rPr>
          <w:b/>
          <w:color w:val="C00000"/>
          <w:sz w:val="8"/>
          <w:szCs w:val="8"/>
          <w:u w:val="single"/>
        </w:rPr>
      </w:pPr>
    </w:p>
    <w:p w14:paraId="7B82AC45" w14:textId="77777777" w:rsidR="004157E1" w:rsidRDefault="004157E1" w:rsidP="007B377E">
      <w:pPr>
        <w:pStyle w:val="Paragraphedeliste"/>
        <w:spacing w:after="0"/>
        <w:ind w:left="0"/>
        <w:rPr>
          <w:b/>
          <w:color w:val="C00000"/>
          <w:sz w:val="8"/>
          <w:szCs w:val="8"/>
          <w:u w:val="single"/>
        </w:rPr>
      </w:pPr>
    </w:p>
    <w:p w14:paraId="5F17CAE0" w14:textId="719F97ED" w:rsidR="004157E1" w:rsidRDefault="00E53D08" w:rsidP="007B377E">
      <w:pPr>
        <w:pStyle w:val="Paragraphedeliste"/>
        <w:spacing w:after="0"/>
        <w:ind w:left="0"/>
        <w:rPr>
          <w:b/>
          <w:color w:val="C00000"/>
          <w:sz w:val="8"/>
          <w:szCs w:val="8"/>
          <w:u w:val="single"/>
        </w:rPr>
      </w:pPr>
      <w:r>
        <w:rPr>
          <w:b/>
          <w:color w:val="C00000"/>
          <w:sz w:val="8"/>
          <w:szCs w:val="8"/>
          <w:u w:val="single"/>
        </w:rPr>
        <w:t xml:space="preserve">  </w:t>
      </w:r>
    </w:p>
    <w:p w14:paraId="2ECEDE4D" w14:textId="77777777" w:rsidR="004157E1" w:rsidRDefault="004157E1" w:rsidP="007B377E">
      <w:pPr>
        <w:pStyle w:val="Paragraphedeliste"/>
        <w:spacing w:after="0"/>
        <w:ind w:left="0"/>
        <w:rPr>
          <w:b/>
          <w:color w:val="C00000"/>
          <w:sz w:val="8"/>
          <w:szCs w:val="8"/>
          <w:u w:val="single"/>
        </w:rPr>
      </w:pPr>
    </w:p>
    <w:p w14:paraId="5132EB2A" w14:textId="77777777" w:rsidR="004157E1" w:rsidRDefault="004157E1" w:rsidP="007B377E">
      <w:pPr>
        <w:pStyle w:val="Paragraphedeliste"/>
        <w:spacing w:after="0"/>
        <w:ind w:left="0"/>
        <w:rPr>
          <w:b/>
          <w:color w:val="C00000"/>
          <w:sz w:val="8"/>
          <w:szCs w:val="8"/>
          <w:u w:val="single"/>
        </w:rPr>
      </w:pPr>
    </w:p>
    <w:p w14:paraId="29749721" w14:textId="77777777" w:rsidR="004157E1" w:rsidRDefault="004157E1" w:rsidP="007B377E">
      <w:pPr>
        <w:pStyle w:val="Paragraphedeliste"/>
        <w:spacing w:after="0"/>
        <w:ind w:left="0"/>
        <w:rPr>
          <w:b/>
          <w:color w:val="C00000"/>
          <w:sz w:val="8"/>
          <w:szCs w:val="8"/>
          <w:u w:val="single"/>
        </w:rPr>
      </w:pPr>
    </w:p>
    <w:p w14:paraId="78D6A3E7" w14:textId="77777777" w:rsidR="004157E1" w:rsidRDefault="004157E1" w:rsidP="007B377E">
      <w:pPr>
        <w:pStyle w:val="Paragraphedeliste"/>
        <w:spacing w:after="0"/>
        <w:ind w:left="0"/>
        <w:rPr>
          <w:b/>
          <w:color w:val="C00000"/>
          <w:sz w:val="8"/>
          <w:szCs w:val="8"/>
          <w:u w:val="single"/>
        </w:rPr>
      </w:pPr>
    </w:p>
    <w:p w14:paraId="5D5AC9BB" w14:textId="77777777" w:rsidR="004157E1" w:rsidRDefault="004157E1" w:rsidP="007B377E">
      <w:pPr>
        <w:pStyle w:val="Paragraphedeliste"/>
        <w:spacing w:after="0"/>
        <w:ind w:left="0"/>
        <w:rPr>
          <w:b/>
          <w:color w:val="C00000"/>
          <w:sz w:val="8"/>
          <w:szCs w:val="8"/>
          <w:u w:val="single"/>
        </w:rPr>
      </w:pPr>
    </w:p>
    <w:p w14:paraId="7EF9EBAA" w14:textId="77777777" w:rsidR="004157E1" w:rsidRDefault="004157E1" w:rsidP="007B377E">
      <w:pPr>
        <w:pStyle w:val="Paragraphedeliste"/>
        <w:spacing w:after="0"/>
        <w:ind w:left="0"/>
        <w:rPr>
          <w:b/>
          <w:color w:val="C00000"/>
          <w:sz w:val="8"/>
          <w:szCs w:val="8"/>
          <w:u w:val="single"/>
        </w:rPr>
      </w:pPr>
    </w:p>
    <w:p w14:paraId="54D2C5B4" w14:textId="77777777" w:rsidR="004157E1" w:rsidRDefault="004157E1" w:rsidP="007B377E">
      <w:pPr>
        <w:pStyle w:val="Paragraphedeliste"/>
        <w:spacing w:after="0"/>
        <w:ind w:left="0"/>
        <w:rPr>
          <w:b/>
          <w:color w:val="C00000"/>
          <w:sz w:val="8"/>
          <w:szCs w:val="8"/>
          <w:u w:val="single"/>
        </w:rPr>
      </w:pPr>
    </w:p>
    <w:p w14:paraId="34F7686D" w14:textId="77777777" w:rsidR="004157E1" w:rsidRDefault="004157E1" w:rsidP="007B377E">
      <w:pPr>
        <w:pStyle w:val="Paragraphedeliste"/>
        <w:spacing w:after="0"/>
        <w:ind w:left="0"/>
        <w:rPr>
          <w:b/>
          <w:color w:val="C00000"/>
          <w:sz w:val="8"/>
          <w:szCs w:val="8"/>
          <w:u w:val="single"/>
        </w:rPr>
      </w:pPr>
    </w:p>
    <w:p w14:paraId="126DF5DE" w14:textId="77777777" w:rsidR="000E271A" w:rsidRDefault="000E271A" w:rsidP="007B377E">
      <w:pPr>
        <w:pStyle w:val="Paragraphedeliste"/>
        <w:spacing w:after="0"/>
        <w:ind w:left="0"/>
        <w:rPr>
          <w:b/>
          <w:color w:val="C00000"/>
          <w:sz w:val="8"/>
          <w:szCs w:val="8"/>
          <w:u w:val="single"/>
        </w:rPr>
      </w:pPr>
    </w:p>
    <w:p w14:paraId="465F1698" w14:textId="77777777" w:rsidR="00A4696B" w:rsidRDefault="00A4696B" w:rsidP="00A4696B">
      <w:pPr>
        <w:sectPr w:rsidR="00A4696B" w:rsidSect="003C7EF0">
          <w:headerReference w:type="default" r:id="rId7"/>
          <w:footerReference w:type="default" r:id="rId8"/>
          <w:type w:val="continuous"/>
          <w:pgSz w:w="11906" w:h="16838"/>
          <w:pgMar w:top="1418" w:right="851" w:bottom="1418" w:left="992" w:header="0" w:footer="709" w:gutter="0"/>
          <w:cols w:num="2" w:space="708"/>
          <w:docGrid w:linePitch="360"/>
        </w:sectPr>
      </w:pPr>
    </w:p>
    <w:p w14:paraId="4368F409" w14:textId="67908CDA" w:rsidR="0091598A" w:rsidRDefault="0091598A" w:rsidP="00A4696B"/>
    <w:p w14:paraId="2F786335" w14:textId="3882C431" w:rsidR="00A4696B" w:rsidRDefault="00A4696B" w:rsidP="00A4696B"/>
    <w:p w14:paraId="6A0F12FC" w14:textId="77777777" w:rsidR="00176DA7" w:rsidRDefault="00176DA7" w:rsidP="00A4696B">
      <w:pPr>
        <w:jc w:val="both"/>
        <w:rPr>
          <w:b/>
          <w:bCs/>
          <w:color w:val="C00000"/>
        </w:rPr>
      </w:pPr>
    </w:p>
    <w:p w14:paraId="6EDCD637" w14:textId="6F27A9D5" w:rsidR="00A4696B" w:rsidRDefault="00A4696B" w:rsidP="00176DA7">
      <w:pPr>
        <w:spacing w:after="0"/>
        <w:jc w:val="both"/>
        <w:rPr>
          <w:b/>
          <w:bCs/>
          <w:color w:val="C00000"/>
          <w:u w:val="single"/>
        </w:rPr>
      </w:pPr>
      <w:r w:rsidRPr="00176DA7">
        <w:rPr>
          <w:b/>
          <w:bCs/>
          <w:color w:val="C00000"/>
          <w:u w:val="single"/>
        </w:rPr>
        <w:t>L’inflation toujours …</w:t>
      </w:r>
    </w:p>
    <w:p w14:paraId="5FAB3E4C" w14:textId="77777777" w:rsidR="00176DA7" w:rsidRPr="00176DA7" w:rsidRDefault="00176DA7" w:rsidP="00176DA7">
      <w:pPr>
        <w:spacing w:after="0"/>
        <w:jc w:val="both"/>
        <w:rPr>
          <w:b/>
          <w:bCs/>
          <w:color w:val="C00000"/>
          <w:sz w:val="28"/>
          <w:szCs w:val="28"/>
          <w:u w:val="single"/>
        </w:rPr>
      </w:pPr>
    </w:p>
    <w:p w14:paraId="2912DD50" w14:textId="77777777" w:rsidR="00A4696B" w:rsidRDefault="00A4696B" w:rsidP="00176DA7">
      <w:pPr>
        <w:spacing w:after="0"/>
        <w:jc w:val="both"/>
      </w:pPr>
      <w:r>
        <w:t>L’inflation a enregistré en 2022 un pic depuis 40 ans, dépassant 10 % en zone euro (y compris en Allemagne), en Grande Bretagne et plus de 8 % aux USA.</w:t>
      </w:r>
    </w:p>
    <w:p w14:paraId="6A087656" w14:textId="77777777" w:rsidR="00B54712" w:rsidRDefault="00B54712" w:rsidP="00B54712">
      <w:pPr>
        <w:spacing w:after="0"/>
        <w:jc w:val="both"/>
      </w:pPr>
    </w:p>
    <w:p w14:paraId="53C11E1A" w14:textId="49C1E6AA" w:rsidR="00A4696B" w:rsidRDefault="00A4696B" w:rsidP="00B54712">
      <w:pPr>
        <w:spacing w:after="0"/>
        <w:jc w:val="both"/>
      </w:pPr>
      <w:r>
        <w:t>La France, grâce au blocage des prix de l’énergie, et l’Espagne, peu sensible au gaz russe, ont réussi à limiter la hausse des prix entre 6 et 7 %.</w:t>
      </w:r>
    </w:p>
    <w:p w14:paraId="2EBAD7C8" w14:textId="77777777" w:rsidR="00B54712" w:rsidRDefault="00B54712" w:rsidP="00B54712">
      <w:pPr>
        <w:spacing w:after="0"/>
        <w:jc w:val="both"/>
      </w:pPr>
    </w:p>
    <w:p w14:paraId="32ACB5B2" w14:textId="50F4ED32" w:rsidR="00A4696B" w:rsidRDefault="00A4696B" w:rsidP="00A4696B">
      <w:pPr>
        <w:jc w:val="both"/>
      </w:pPr>
      <w:r>
        <w:t>Les raisons sont à la fois conjoncturelles (forte reprise économique post covid, injection monétaire massive, dysfonctionnements des chaines de production et logistiques entrainant des pénuries, confinement strict en Chine…) et structurelles (baisse de la population active, « démondialisation », transition écologique)</w:t>
      </w:r>
      <w:r w:rsidR="00B54712">
        <w:t>.</w:t>
      </w:r>
    </w:p>
    <w:p w14:paraId="26C336DF" w14:textId="162ECE86" w:rsidR="00A4696B" w:rsidRDefault="00A4696B" w:rsidP="00A4696B">
      <w:pPr>
        <w:jc w:val="both"/>
      </w:pPr>
      <w:r>
        <w:t xml:space="preserve">La guerre en Ukraine, qui a provoqué une envolée des prix de l’énergie et des denrées alimentaires, a fortement accéléré l’inflation, puis les effets de « second tour » ont alimenté le phénomène : hausses significatives des </w:t>
      </w:r>
      <w:r w:rsidR="00B54712">
        <w:t xml:space="preserve">        </w:t>
      </w:r>
      <w:r>
        <w:t xml:space="preserve">salaires et répercussions par les entreprises de la hausse de leurs coûts dans les prix de vente. L’inflation est désormais installée à des niveaux élevés et ne va décroitre que progressivement. </w:t>
      </w:r>
    </w:p>
    <w:p w14:paraId="2A1CCE3F" w14:textId="438ABE38" w:rsidR="00A4696B" w:rsidRDefault="00A4696B" w:rsidP="00A4696B">
      <w:pPr>
        <w:jc w:val="both"/>
      </w:pPr>
      <w:r>
        <w:t>L’</w:t>
      </w:r>
      <w:r w:rsidR="00B54712">
        <w:t>U</w:t>
      </w:r>
      <w:r>
        <w:t xml:space="preserve">nion </w:t>
      </w:r>
      <w:r w:rsidR="00B54712">
        <w:t>E</w:t>
      </w:r>
      <w:r>
        <w:t>uropéenne vient ainsi de rehausser sa prévision d’inflation à 6.1 % pour 2023 contre 4 % auparavant.</w:t>
      </w:r>
    </w:p>
    <w:p w14:paraId="2E211A6F" w14:textId="3CB030A1" w:rsidR="00A4696B" w:rsidRDefault="00A4696B" w:rsidP="00A4696B">
      <w:pPr>
        <w:jc w:val="both"/>
      </w:pPr>
      <w:r>
        <w:t>Toutefois</w:t>
      </w:r>
      <w:r w:rsidR="00B54712">
        <w:t>,</w:t>
      </w:r>
      <w:r>
        <w:t xml:space="preserve"> le pic d’inflation a été atteint cet été aux USA (passé de 9 % en juin à 7.1 % en décembre) et devrait être constaté en Europe au tournant de 2022/2023.</w:t>
      </w:r>
    </w:p>
    <w:p w14:paraId="46FFDC1B" w14:textId="29DACB2E" w:rsidR="00A4696B" w:rsidRDefault="00A4696B" w:rsidP="00A4696B">
      <w:pPr>
        <w:jc w:val="both"/>
      </w:pPr>
      <w:r>
        <w:t>Cette décrue est due notamment au reflux du prix des matières premières et de l’énergie depuis les mois qui ont suivi le déclenchement de la guerre : le pétrole Brent est ainsi revenu autour de 84 $ le baril après avoir culminé à 140 $ au printemps et le prix du gaz (TTF Rotterdam) a retrouvé le 29 décembre son niveau d’avant-guerre à    77 € le mégawattheure.</w:t>
      </w:r>
    </w:p>
    <w:p w14:paraId="2A57222C" w14:textId="77777777" w:rsidR="00A4696B" w:rsidRDefault="00A4696B" w:rsidP="00A4696B">
      <w:pPr>
        <w:jc w:val="both"/>
      </w:pPr>
    </w:p>
    <w:p w14:paraId="60ABD218" w14:textId="39723EC5" w:rsidR="00A4696B" w:rsidRPr="00176DA7" w:rsidRDefault="00A4696B" w:rsidP="00176DA7">
      <w:pPr>
        <w:spacing w:after="0"/>
        <w:jc w:val="both"/>
        <w:rPr>
          <w:b/>
          <w:bCs/>
          <w:color w:val="C00000"/>
          <w:u w:val="single"/>
        </w:rPr>
      </w:pPr>
      <w:r w:rsidRPr="00BB67E4">
        <w:rPr>
          <w:color w:val="C00000"/>
          <w:u w:val="single"/>
        </w:rPr>
        <w:t xml:space="preserve">… </w:t>
      </w:r>
      <w:r w:rsidRPr="00176DA7">
        <w:rPr>
          <w:b/>
          <w:bCs/>
          <w:color w:val="C00000"/>
          <w:u w:val="single"/>
        </w:rPr>
        <w:t>et la récession bientôt.</w:t>
      </w:r>
    </w:p>
    <w:p w14:paraId="6EDEDCE1" w14:textId="77777777" w:rsidR="00176DA7" w:rsidRPr="00176DA7" w:rsidRDefault="00176DA7" w:rsidP="00176DA7">
      <w:pPr>
        <w:spacing w:after="0"/>
        <w:jc w:val="both"/>
        <w:rPr>
          <w:sz w:val="28"/>
          <w:szCs w:val="28"/>
        </w:rPr>
      </w:pPr>
    </w:p>
    <w:p w14:paraId="7AD7D34F" w14:textId="77777777" w:rsidR="00B54712" w:rsidRDefault="00A4696B" w:rsidP="00176DA7">
      <w:pPr>
        <w:spacing w:after="0"/>
        <w:jc w:val="both"/>
      </w:pPr>
      <w:r>
        <w:t xml:space="preserve">Afin de lutter contre l’inflation, les Banques Centrales du monde entier, dont le mandat est de maintenir la hausse des prix autour de 2 %, ont abandonné leurs politiques monétaires ultra-accommodantes adoptées lors de la pandémie et monté les taux d’intérêt dans des proportions et à un rythme plus vus depuis des décennies : les taux à court terme européens, encore négatifs au premier trimestre, sont ainsi désormais à 2 % et devraient progresser jusqu’à 3.5 % environ en 2023. </w:t>
      </w:r>
    </w:p>
    <w:p w14:paraId="5B0F4ED6" w14:textId="77777777" w:rsidR="00B54712" w:rsidRPr="00B54712" w:rsidRDefault="00B54712" w:rsidP="00176DA7">
      <w:pPr>
        <w:spacing w:after="0"/>
        <w:jc w:val="both"/>
        <w:rPr>
          <w:sz w:val="16"/>
          <w:szCs w:val="16"/>
        </w:rPr>
      </w:pPr>
    </w:p>
    <w:p w14:paraId="3AA7DE34" w14:textId="44D28399" w:rsidR="00A4696B" w:rsidRDefault="00A4696B" w:rsidP="00176DA7">
      <w:pPr>
        <w:spacing w:after="0"/>
        <w:jc w:val="both"/>
      </w:pPr>
      <w:r>
        <w:t>Aux USA, les taux monétaires sont à 4.5 % et devraient dépasser 5 % l’an prochain.</w:t>
      </w:r>
    </w:p>
    <w:p w14:paraId="23022E94" w14:textId="77777777" w:rsidR="00176DA7" w:rsidRPr="00B54712" w:rsidRDefault="00176DA7" w:rsidP="00B54712">
      <w:pPr>
        <w:spacing w:after="0"/>
        <w:jc w:val="both"/>
        <w:rPr>
          <w:sz w:val="16"/>
          <w:szCs w:val="16"/>
        </w:rPr>
      </w:pPr>
    </w:p>
    <w:p w14:paraId="5504318E" w14:textId="262F9B0C" w:rsidR="00A4696B" w:rsidRDefault="00A4696B" w:rsidP="00B54712">
      <w:pPr>
        <w:spacing w:after="0"/>
        <w:jc w:val="both"/>
      </w:pPr>
      <w:r>
        <w:t>Cette hausse s’est propagée aux taux à long terme (obligataires) et l</w:t>
      </w:r>
      <w:r w:rsidR="00B54712">
        <w:t xml:space="preserve">’obligation à 10 ans </w:t>
      </w:r>
      <w:r>
        <w:t>de l’</w:t>
      </w:r>
      <w:r w:rsidR="00B54712">
        <w:t>E</w:t>
      </w:r>
      <w:r>
        <w:t>tat français est ainsi passée de zéro fin 2021 à plus de 3 % fin 2022</w:t>
      </w:r>
      <w:r w:rsidR="00B54712">
        <w:t xml:space="preserve"> (cf. graphique page suivante).</w:t>
      </w:r>
    </w:p>
    <w:p w14:paraId="1CEDE510" w14:textId="0F96F37D" w:rsidR="00A4696B" w:rsidRDefault="00A4696B" w:rsidP="00A4696B">
      <w:pPr>
        <w:jc w:val="both"/>
      </w:pPr>
    </w:p>
    <w:p w14:paraId="2D07C027" w14:textId="7FC16392" w:rsidR="00A4696B" w:rsidRDefault="00A4696B" w:rsidP="00A4696B">
      <w:pPr>
        <w:jc w:val="both"/>
      </w:pPr>
    </w:p>
    <w:p w14:paraId="3915DA57" w14:textId="166610A7" w:rsidR="00A4696B" w:rsidRDefault="00A4696B" w:rsidP="00A4696B">
      <w:pPr>
        <w:jc w:val="both"/>
      </w:pPr>
    </w:p>
    <w:p w14:paraId="6499905C" w14:textId="72441460" w:rsidR="00A4696B" w:rsidRDefault="00A4696B" w:rsidP="00A4696B">
      <w:pPr>
        <w:jc w:val="both"/>
      </w:pPr>
    </w:p>
    <w:p w14:paraId="38CEA9DA" w14:textId="6B56D726" w:rsidR="00A4696B" w:rsidRDefault="00A4696B" w:rsidP="00A4696B">
      <w:pPr>
        <w:jc w:val="both"/>
      </w:pPr>
    </w:p>
    <w:p w14:paraId="23C94BB5" w14:textId="598521FE" w:rsidR="00A4696B" w:rsidRDefault="00A4696B" w:rsidP="00A4696B">
      <w:pPr>
        <w:jc w:val="both"/>
      </w:pPr>
      <w:r>
        <w:rPr>
          <w:noProof/>
          <w:lang w:eastAsia="fr-FR"/>
        </w:rPr>
        <w:drawing>
          <wp:anchor distT="0" distB="0" distL="114300" distR="114300" simplePos="0" relativeHeight="251658240" behindDoc="0" locked="0" layoutInCell="1" allowOverlap="1" wp14:anchorId="75133E76" wp14:editId="516E1B6B">
            <wp:simplePos x="0" y="0"/>
            <wp:positionH relativeFrom="page">
              <wp:posOffset>1381125</wp:posOffset>
            </wp:positionH>
            <wp:positionV relativeFrom="paragraph">
              <wp:posOffset>14605</wp:posOffset>
            </wp:positionV>
            <wp:extent cx="4552950" cy="2355523"/>
            <wp:effectExtent l="0" t="0" r="0" b="698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52950" cy="235552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80A524" w14:textId="668A0F98" w:rsidR="00A4696B" w:rsidRDefault="00A4696B" w:rsidP="00A4696B">
      <w:pPr>
        <w:jc w:val="both"/>
      </w:pPr>
    </w:p>
    <w:p w14:paraId="51564464" w14:textId="49A92536" w:rsidR="00A4696B" w:rsidRDefault="00A4696B" w:rsidP="00A4696B">
      <w:pPr>
        <w:jc w:val="both"/>
      </w:pPr>
    </w:p>
    <w:p w14:paraId="61C903ED" w14:textId="5F0EB16F" w:rsidR="00A4696B" w:rsidRDefault="00A4696B" w:rsidP="00A4696B">
      <w:pPr>
        <w:jc w:val="both"/>
      </w:pPr>
    </w:p>
    <w:p w14:paraId="162D5AC2" w14:textId="00334D6E" w:rsidR="00A4696B" w:rsidRDefault="00A4696B" w:rsidP="00A4696B">
      <w:pPr>
        <w:jc w:val="both"/>
      </w:pPr>
    </w:p>
    <w:p w14:paraId="3764A06B" w14:textId="441AED2B" w:rsidR="00A4696B" w:rsidRDefault="00A4696B" w:rsidP="00A4696B">
      <w:pPr>
        <w:jc w:val="both"/>
      </w:pPr>
    </w:p>
    <w:p w14:paraId="63D5AE7F" w14:textId="1794380C" w:rsidR="00A4696B" w:rsidRDefault="00A4696B" w:rsidP="00A4696B">
      <w:pPr>
        <w:jc w:val="both"/>
      </w:pPr>
    </w:p>
    <w:p w14:paraId="2C36EC24" w14:textId="7ECE0E74" w:rsidR="00A4696B" w:rsidRDefault="00A4696B" w:rsidP="00A4696B">
      <w:pPr>
        <w:jc w:val="both"/>
      </w:pPr>
    </w:p>
    <w:p w14:paraId="7D711A43" w14:textId="77777777" w:rsidR="00A4696B" w:rsidRDefault="00A4696B" w:rsidP="00A4696B">
      <w:pPr>
        <w:jc w:val="both"/>
      </w:pPr>
    </w:p>
    <w:p w14:paraId="6D794D6F" w14:textId="1FCCD97C" w:rsidR="00A4696B" w:rsidRDefault="00A4696B" w:rsidP="00A4696B">
      <w:pPr>
        <w:jc w:val="both"/>
      </w:pPr>
      <w:r>
        <w:t>En renchérissant les couts de financement de l’économie (conduisant à moins de dépenses, d’investissement et d’achats immobiliers), les Banques Centrales souhaitent provoquer un ralentissement de l’économie et maitriser l’inflation. Elles assument le fait que le ralentissement puisse se transformer en récession, ce risque leur paraissant moins dangereux qu’une inflation durablement élevée.</w:t>
      </w:r>
    </w:p>
    <w:p w14:paraId="619C851F" w14:textId="3727D91C" w:rsidR="00A4696B" w:rsidRDefault="00A4696B" w:rsidP="00A4696B">
      <w:pPr>
        <w:jc w:val="both"/>
      </w:pPr>
      <w:r>
        <w:t>Pour l’instant, les économies occidentales résistent bien à la hausse des taux et aux conséquences du choc de la guerre en Ukraine, notamment avec des marchés de l’emploi encore vigoureux et une consommation robuste, mais les effets des politiques des Banques Centrales mettent environ 18 mois à se diffuser complétement dans l’économie.</w:t>
      </w:r>
    </w:p>
    <w:p w14:paraId="4CABE262" w14:textId="69F08A5F" w:rsidR="00A4696B" w:rsidRDefault="00A4696B" w:rsidP="00A4696B">
      <w:pPr>
        <w:pBdr>
          <w:top w:val="single" w:sz="4" w:space="1" w:color="auto"/>
          <w:left w:val="single" w:sz="4" w:space="4" w:color="auto"/>
          <w:bottom w:val="single" w:sz="4" w:space="1" w:color="auto"/>
          <w:right w:val="single" w:sz="4" w:space="4" w:color="auto"/>
        </w:pBdr>
        <w:jc w:val="both"/>
        <w:rPr>
          <w:b/>
          <w:bCs/>
        </w:rPr>
      </w:pPr>
      <w:r w:rsidRPr="00ED14E3">
        <w:rPr>
          <w:b/>
          <w:bCs/>
        </w:rPr>
        <w:t>Les perspectives économiques pour 2023 demeurent ainsi moroses avec une inflation encore élevée</w:t>
      </w:r>
      <w:r>
        <w:rPr>
          <w:b/>
          <w:bCs/>
        </w:rPr>
        <w:t>,</w:t>
      </w:r>
      <w:r w:rsidRPr="00ED14E3">
        <w:rPr>
          <w:b/>
          <w:bCs/>
        </w:rPr>
        <w:t xml:space="preserve"> la </w:t>
      </w:r>
      <w:r w:rsidR="00176DA7">
        <w:rPr>
          <w:b/>
          <w:bCs/>
        </w:rPr>
        <w:t xml:space="preserve">             </w:t>
      </w:r>
      <w:r w:rsidRPr="00ED14E3">
        <w:rPr>
          <w:b/>
          <w:bCs/>
        </w:rPr>
        <w:t>probabilité non négligeable d’une récession</w:t>
      </w:r>
      <w:r>
        <w:rPr>
          <w:b/>
          <w:bCs/>
        </w:rPr>
        <w:t xml:space="preserve"> et un contexte géopolitique très tendu</w:t>
      </w:r>
      <w:r w:rsidRPr="00ED14E3">
        <w:rPr>
          <w:b/>
          <w:bCs/>
        </w:rPr>
        <w:t>.</w:t>
      </w:r>
      <w:r>
        <w:rPr>
          <w:b/>
          <w:bCs/>
        </w:rPr>
        <w:t xml:space="preserve"> </w:t>
      </w:r>
    </w:p>
    <w:p w14:paraId="7918A78F" w14:textId="1832B5E7" w:rsidR="00A4696B" w:rsidRPr="00ED14E3" w:rsidRDefault="00A4696B" w:rsidP="00A4696B">
      <w:pPr>
        <w:pBdr>
          <w:top w:val="single" w:sz="4" w:space="1" w:color="auto"/>
          <w:left w:val="single" w:sz="4" w:space="4" w:color="auto"/>
          <w:bottom w:val="single" w:sz="4" w:space="1" w:color="auto"/>
          <w:right w:val="single" w:sz="4" w:space="4" w:color="auto"/>
        </w:pBdr>
        <w:jc w:val="both"/>
        <w:rPr>
          <w:b/>
          <w:bCs/>
        </w:rPr>
      </w:pPr>
      <w:r>
        <w:rPr>
          <w:b/>
          <w:bCs/>
        </w:rPr>
        <w:t xml:space="preserve">Les incertitudes liées à la guerre en Ukraine et à la situation sanitaire en Chine demeurent encore très </w:t>
      </w:r>
      <w:r w:rsidR="00B54712">
        <w:rPr>
          <w:b/>
          <w:bCs/>
        </w:rPr>
        <w:t>fortes</w:t>
      </w:r>
      <w:r>
        <w:rPr>
          <w:b/>
          <w:bCs/>
        </w:rPr>
        <w:t>.</w:t>
      </w:r>
    </w:p>
    <w:p w14:paraId="0F18F418" w14:textId="77777777" w:rsidR="00176DA7" w:rsidRPr="00176DA7" w:rsidRDefault="00176DA7" w:rsidP="00A4696B">
      <w:pPr>
        <w:jc w:val="both"/>
        <w:rPr>
          <w:b/>
          <w:bCs/>
          <w:color w:val="C00000"/>
          <w:sz w:val="12"/>
          <w:szCs w:val="12"/>
        </w:rPr>
      </w:pPr>
    </w:p>
    <w:p w14:paraId="72470DA8" w14:textId="25C1990B" w:rsidR="00A4696B" w:rsidRPr="00176DA7" w:rsidRDefault="00A4696B" w:rsidP="00A4696B">
      <w:pPr>
        <w:jc w:val="both"/>
        <w:rPr>
          <w:b/>
          <w:bCs/>
          <w:color w:val="C00000"/>
          <w:u w:val="single"/>
        </w:rPr>
      </w:pPr>
      <w:r w:rsidRPr="00176DA7">
        <w:rPr>
          <w:b/>
          <w:bCs/>
          <w:color w:val="C00000"/>
          <w:u w:val="single"/>
        </w:rPr>
        <w:t>Evolution des marchés en 2022</w:t>
      </w:r>
    </w:p>
    <w:p w14:paraId="2AE3CFD5" w14:textId="77777777" w:rsidR="00A4696B" w:rsidRDefault="00A4696B" w:rsidP="00A4696B">
      <w:pPr>
        <w:jc w:val="both"/>
      </w:pPr>
      <w:r>
        <w:t>L’année 2022 a été très mauvaise pour l’ensemble des marchés financiers.</w:t>
      </w:r>
    </w:p>
    <w:p w14:paraId="00A8E424" w14:textId="77777777" w:rsidR="00A4696B" w:rsidRDefault="00A4696B" w:rsidP="00A4696B">
      <w:pPr>
        <w:jc w:val="both"/>
      </w:pPr>
      <w:r>
        <w:t xml:space="preserve"> Deux événements majeurs :</w:t>
      </w:r>
    </w:p>
    <w:p w14:paraId="6A44F0AC" w14:textId="2A791094" w:rsidR="00A4696B" w:rsidRDefault="00A4696B" w:rsidP="00A4696B">
      <w:pPr>
        <w:pStyle w:val="Paragraphedeliste"/>
        <w:numPr>
          <w:ilvl w:val="0"/>
          <w:numId w:val="38"/>
        </w:numPr>
        <w:jc w:val="both"/>
      </w:pPr>
      <w:r w:rsidRPr="00B54712">
        <w:rPr>
          <w:b/>
          <w:bCs/>
        </w:rPr>
        <w:t>Un krach obligataire historique</w:t>
      </w:r>
      <w:r>
        <w:t xml:space="preserve">. Le prix des obligations baissant lorsque les taux montent, la hausse </w:t>
      </w:r>
      <w:r w:rsidR="00B54712">
        <w:t xml:space="preserve">        </w:t>
      </w:r>
      <w:r>
        <w:t>brutale des taux a provoqué une chute de 15 à 20 % de tous les indices obligataires (contre 4 % lors des pires années des dernières décennies).</w:t>
      </w:r>
    </w:p>
    <w:p w14:paraId="71D1EE25" w14:textId="77777777" w:rsidR="00A4696B" w:rsidRPr="00176DA7" w:rsidRDefault="00A4696B" w:rsidP="00A4696B">
      <w:pPr>
        <w:pStyle w:val="Paragraphedeliste"/>
        <w:jc w:val="both"/>
        <w:rPr>
          <w:sz w:val="16"/>
          <w:szCs w:val="16"/>
        </w:rPr>
      </w:pPr>
    </w:p>
    <w:p w14:paraId="1B2CFF11" w14:textId="7267ABFB" w:rsidR="00A4696B" w:rsidRDefault="00A4696B" w:rsidP="00F832AE">
      <w:pPr>
        <w:pStyle w:val="Paragraphedeliste"/>
        <w:numPr>
          <w:ilvl w:val="0"/>
          <w:numId w:val="38"/>
        </w:numPr>
        <w:jc w:val="both"/>
      </w:pPr>
      <w:r w:rsidRPr="00B54712">
        <w:rPr>
          <w:b/>
          <w:bCs/>
        </w:rPr>
        <w:t>Une très forte correction des actions</w:t>
      </w:r>
      <w:r>
        <w:t xml:space="preserve">, notamment des valeurs dites « de croissance », dont les valorisations étaient élevées fin 2021 et qui sont les plus pénalisées par la hausse des taux. Le Nasdaq américain a ainsi perdu 33 % sur l’année et des sociétés emblématiques telles Tesla (-65 %, soit une perte de </w:t>
      </w:r>
      <w:r w:rsidR="00B54712">
        <w:t xml:space="preserve">               </w:t>
      </w:r>
      <w:r>
        <w:t>capitalisation boursière de 720 milliards) ou Meta (ex-Facebook</w:t>
      </w:r>
      <w:r w:rsidR="00B54712">
        <w:t>) en chute de</w:t>
      </w:r>
      <w:r>
        <w:t xml:space="preserve"> 70</w:t>
      </w:r>
      <w:r w:rsidR="00B54712">
        <w:t xml:space="preserve"> </w:t>
      </w:r>
      <w:r>
        <w:t>%</w:t>
      </w:r>
      <w:r w:rsidR="00B54712">
        <w:t>,</w:t>
      </w:r>
      <w:r>
        <w:t xml:space="preserve"> se sont effondrées.</w:t>
      </w:r>
    </w:p>
    <w:p w14:paraId="2841F53C" w14:textId="77777777" w:rsidR="00A4696B" w:rsidRDefault="00A4696B" w:rsidP="00A4696B">
      <w:pPr>
        <w:pStyle w:val="Paragraphedeliste"/>
      </w:pPr>
    </w:p>
    <w:p w14:paraId="1F77238E" w14:textId="77777777" w:rsidR="00A4696B" w:rsidRDefault="00A4696B" w:rsidP="00A4696B">
      <w:pPr>
        <w:pStyle w:val="Paragraphedeliste"/>
        <w:jc w:val="both"/>
      </w:pPr>
    </w:p>
    <w:p w14:paraId="4A3B6844" w14:textId="77777777" w:rsidR="00A4696B" w:rsidRDefault="00A4696B" w:rsidP="00A4696B">
      <w:pPr>
        <w:pStyle w:val="Paragraphedeliste"/>
        <w:jc w:val="both"/>
      </w:pPr>
    </w:p>
    <w:p w14:paraId="1AA54D74" w14:textId="77777777" w:rsidR="00A4696B" w:rsidRDefault="00A4696B" w:rsidP="00A4696B">
      <w:pPr>
        <w:pStyle w:val="Paragraphedeliste"/>
        <w:jc w:val="both"/>
      </w:pPr>
    </w:p>
    <w:p w14:paraId="59088492" w14:textId="77777777" w:rsidR="00A4696B" w:rsidRDefault="00A4696B" w:rsidP="00A4696B">
      <w:pPr>
        <w:pStyle w:val="Paragraphedeliste"/>
        <w:jc w:val="both"/>
      </w:pPr>
    </w:p>
    <w:p w14:paraId="4F9970B9" w14:textId="77777777" w:rsidR="00A4696B" w:rsidRDefault="00A4696B" w:rsidP="00A4696B">
      <w:pPr>
        <w:pStyle w:val="Paragraphedeliste"/>
        <w:jc w:val="both"/>
      </w:pPr>
    </w:p>
    <w:p w14:paraId="56FA8731" w14:textId="77777777" w:rsidR="00A4696B" w:rsidRDefault="00A4696B" w:rsidP="00A4696B">
      <w:pPr>
        <w:pStyle w:val="Paragraphedeliste"/>
        <w:jc w:val="both"/>
      </w:pPr>
    </w:p>
    <w:p w14:paraId="0569D245" w14:textId="21CB9708" w:rsidR="00A4696B" w:rsidRDefault="00A4696B" w:rsidP="00A4696B">
      <w:pPr>
        <w:pStyle w:val="Paragraphedeliste"/>
        <w:jc w:val="both"/>
      </w:pPr>
      <w:r>
        <w:t>Le CAC 40, qui comporte peu de valeurs technologiques, n’accuse qu’un repli de 9</w:t>
      </w:r>
      <w:r w:rsidR="00B54712">
        <w:t>,</w:t>
      </w:r>
      <w:r>
        <w:t xml:space="preserve">5 %, sauvé par la </w:t>
      </w:r>
      <w:r w:rsidR="00B54712">
        <w:t xml:space="preserve">         </w:t>
      </w:r>
      <w:r>
        <w:t xml:space="preserve">progression de </w:t>
      </w:r>
      <w:proofErr w:type="spellStart"/>
      <w:r>
        <w:t>TotalEnergies</w:t>
      </w:r>
      <w:proofErr w:type="spellEnd"/>
      <w:r>
        <w:t xml:space="preserve"> (+33 %) et la résistance des valeurs de luxe (LVMH, Hermès et Kering, pesant plus du quart de l’indice) qui n’abandonnent qu’environ 5 % sur l’année.</w:t>
      </w:r>
    </w:p>
    <w:p w14:paraId="47B461E1" w14:textId="77777777" w:rsidR="00A4696B" w:rsidRDefault="00A4696B" w:rsidP="00A4696B">
      <w:pPr>
        <w:pStyle w:val="Paragraphedeliste"/>
        <w:jc w:val="both"/>
      </w:pPr>
    </w:p>
    <w:p w14:paraId="6E1BD325" w14:textId="4BDC0EEE" w:rsidR="00A4696B" w:rsidRDefault="002E61E0" w:rsidP="00A4696B">
      <w:pPr>
        <w:pStyle w:val="Paragraphedeliste"/>
        <w:jc w:val="both"/>
      </w:pPr>
      <w:r w:rsidRPr="002E61E0">
        <w:rPr>
          <w:noProof/>
          <w:lang w:eastAsia="fr-FR"/>
        </w:rPr>
        <w:drawing>
          <wp:inline distT="0" distB="0" distL="0" distR="0" wp14:anchorId="6E6D746F" wp14:editId="58839AF2">
            <wp:extent cx="4714875" cy="134302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14875" cy="1343025"/>
                    </a:xfrm>
                    <a:prstGeom prst="rect">
                      <a:avLst/>
                    </a:prstGeom>
                    <a:noFill/>
                    <a:ln>
                      <a:noFill/>
                    </a:ln>
                  </pic:spPr>
                </pic:pic>
              </a:graphicData>
            </a:graphic>
          </wp:inline>
        </w:drawing>
      </w:r>
    </w:p>
    <w:p w14:paraId="3C802D8D" w14:textId="77777777" w:rsidR="00A4696B" w:rsidRDefault="00A4696B" w:rsidP="00A4696B">
      <w:pPr>
        <w:pStyle w:val="Paragraphedeliste"/>
        <w:jc w:val="both"/>
      </w:pPr>
    </w:p>
    <w:p w14:paraId="1C603E7C" w14:textId="11C2990A" w:rsidR="00A4696B" w:rsidRDefault="00A4696B" w:rsidP="00176DA7">
      <w:pPr>
        <w:pStyle w:val="Paragraphedeliste"/>
        <w:spacing w:after="0"/>
        <w:jc w:val="both"/>
      </w:pPr>
      <w:r>
        <w:t>A noter enfin que les grandes entreprises ont une nouvelle fois démontré leur forte résilience et leur capacité d’adaptation : les résultats nets en 2022 devraient dépasser le record de 2021, ce qui a contribué à soutenir les marchés au deuxième semestre.</w:t>
      </w:r>
    </w:p>
    <w:p w14:paraId="7175D179" w14:textId="77777777" w:rsidR="00176DA7" w:rsidRDefault="00176DA7" w:rsidP="00176DA7">
      <w:pPr>
        <w:pStyle w:val="Paragraphedeliste"/>
        <w:spacing w:after="0"/>
        <w:jc w:val="both"/>
      </w:pPr>
    </w:p>
    <w:p w14:paraId="343F3CED" w14:textId="4FF1FBAD" w:rsidR="00A4696B" w:rsidRDefault="00A4696B" w:rsidP="00176DA7">
      <w:pPr>
        <w:spacing w:after="0"/>
        <w:jc w:val="both"/>
      </w:pPr>
      <w:r>
        <w:t xml:space="preserve">En raison des baisses simultanées sur les obligations et les actions, </w:t>
      </w:r>
      <w:r w:rsidRPr="00176DA7">
        <w:rPr>
          <w:b/>
          <w:bCs/>
          <w:color w:val="C00000"/>
        </w:rPr>
        <w:t>un portefeuille « équilibré » a enregistré en 2022 la pire performance annuelle depuis 1932</w:t>
      </w:r>
      <w:r>
        <w:t>.</w:t>
      </w:r>
    </w:p>
    <w:p w14:paraId="11510B45" w14:textId="77777777" w:rsidR="00176DA7" w:rsidRDefault="00176DA7" w:rsidP="00176DA7">
      <w:pPr>
        <w:spacing w:after="0"/>
        <w:jc w:val="both"/>
      </w:pPr>
    </w:p>
    <w:p w14:paraId="79112583" w14:textId="7DDB3F2D" w:rsidR="00A4696B" w:rsidRDefault="00A4696B" w:rsidP="00176DA7">
      <w:pPr>
        <w:spacing w:after="0"/>
        <w:jc w:val="both"/>
      </w:pPr>
      <w:r>
        <w:t>Parallèlement les diversifications n’ont pas payé, avec</w:t>
      </w:r>
      <w:r w:rsidR="00B54712">
        <w:t xml:space="preserve"> </w:t>
      </w:r>
      <w:r>
        <w:t>une stagnation de l’or, une baisse des métaux et une chute des cryptos actifs (-65 % pour le Bitcoin).</w:t>
      </w:r>
    </w:p>
    <w:p w14:paraId="63BAEAE3" w14:textId="77777777" w:rsidR="00176DA7" w:rsidRDefault="00176DA7" w:rsidP="00176DA7">
      <w:pPr>
        <w:spacing w:after="0"/>
        <w:jc w:val="both"/>
      </w:pPr>
    </w:p>
    <w:p w14:paraId="21D9157E" w14:textId="4922F26D" w:rsidR="00A4696B" w:rsidRDefault="00A4696B" w:rsidP="00176DA7">
      <w:pPr>
        <w:pBdr>
          <w:top w:val="single" w:sz="4" w:space="1" w:color="auto"/>
          <w:left w:val="single" w:sz="4" w:space="4" w:color="auto"/>
          <w:bottom w:val="single" w:sz="4" w:space="1" w:color="auto"/>
          <w:right w:val="single" w:sz="4" w:space="4" w:color="auto"/>
        </w:pBdr>
        <w:spacing w:after="0"/>
        <w:jc w:val="both"/>
        <w:rPr>
          <w:b/>
          <w:bCs/>
        </w:rPr>
      </w:pPr>
      <w:r>
        <w:rPr>
          <w:b/>
          <w:bCs/>
        </w:rPr>
        <w:t xml:space="preserve">Tant que les taux d’intérêt monteront, le potentiel de hausse des marchés </w:t>
      </w:r>
      <w:r w:rsidR="00B54712">
        <w:rPr>
          <w:b/>
          <w:bCs/>
        </w:rPr>
        <w:t>sera</w:t>
      </w:r>
      <w:r>
        <w:rPr>
          <w:b/>
          <w:bCs/>
        </w:rPr>
        <w:t xml:space="preserve"> faible et le risque d’une nouvelle correction toujours présent.</w:t>
      </w:r>
    </w:p>
    <w:p w14:paraId="201A42D7" w14:textId="460E1E11" w:rsidR="00A4696B" w:rsidRPr="00ED14E3" w:rsidRDefault="00A4696B" w:rsidP="00A4696B">
      <w:pPr>
        <w:pBdr>
          <w:top w:val="single" w:sz="4" w:space="1" w:color="auto"/>
          <w:left w:val="single" w:sz="4" w:space="4" w:color="auto"/>
          <w:bottom w:val="single" w:sz="4" w:space="1" w:color="auto"/>
          <w:right w:val="single" w:sz="4" w:space="4" w:color="auto"/>
        </w:pBdr>
        <w:jc w:val="both"/>
        <w:rPr>
          <w:b/>
          <w:bCs/>
        </w:rPr>
      </w:pPr>
      <w:r w:rsidRPr="00ED14E3">
        <w:rPr>
          <w:b/>
          <w:bCs/>
        </w:rPr>
        <w:t>Les investisseurs</w:t>
      </w:r>
      <w:r>
        <w:rPr>
          <w:b/>
          <w:bCs/>
        </w:rPr>
        <w:t xml:space="preserve"> guettent</w:t>
      </w:r>
      <w:r w:rsidRPr="00ED14E3">
        <w:rPr>
          <w:b/>
          <w:bCs/>
        </w:rPr>
        <w:t xml:space="preserve"> désormais une inflexion dans le durcissement des politiques monétaires des Banques Centrales que justifierait un repli durable de l’inflation, avant de se repositionner sur les actifs risqués.</w:t>
      </w:r>
      <w:r w:rsidR="00B54712" w:rsidRPr="00B54712">
        <w:rPr>
          <w:b/>
          <w:bCs/>
        </w:rPr>
        <w:t xml:space="preserve"> </w:t>
      </w:r>
      <w:r w:rsidR="00B54712">
        <w:rPr>
          <w:b/>
          <w:bCs/>
        </w:rPr>
        <w:t>P</w:t>
      </w:r>
      <w:r w:rsidR="00B54712" w:rsidRPr="00ED14E3">
        <w:rPr>
          <w:b/>
          <w:bCs/>
        </w:rPr>
        <w:t>our l’instant leurs espoirs ont été déçus, début décembre 2022</w:t>
      </w:r>
      <w:r w:rsidR="00B54712">
        <w:rPr>
          <w:b/>
          <w:bCs/>
        </w:rPr>
        <w:t xml:space="preserve"> à nouveau.</w:t>
      </w:r>
    </w:p>
    <w:p w14:paraId="7833B751" w14:textId="77777777" w:rsidR="00A4696B" w:rsidRDefault="00A4696B" w:rsidP="00176DA7">
      <w:pPr>
        <w:spacing w:after="0"/>
        <w:jc w:val="both"/>
        <w:rPr>
          <w:b/>
          <w:bCs/>
          <w:color w:val="C00000"/>
        </w:rPr>
      </w:pPr>
    </w:p>
    <w:p w14:paraId="2A82F132" w14:textId="1A5634C9" w:rsidR="00A4696B" w:rsidRPr="00B54712" w:rsidRDefault="00A4696B" w:rsidP="00176DA7">
      <w:pPr>
        <w:spacing w:after="0"/>
        <w:jc w:val="both"/>
        <w:rPr>
          <w:b/>
          <w:bCs/>
          <w:color w:val="C00000"/>
          <w:u w:val="single"/>
        </w:rPr>
      </w:pPr>
      <w:r w:rsidRPr="00B54712">
        <w:rPr>
          <w:b/>
          <w:bCs/>
          <w:color w:val="C00000"/>
          <w:u w:val="single"/>
        </w:rPr>
        <w:t>Suggestions d’investissement</w:t>
      </w:r>
    </w:p>
    <w:p w14:paraId="039AFC7A" w14:textId="77777777" w:rsidR="00176DA7" w:rsidRDefault="00176DA7" w:rsidP="00176DA7">
      <w:pPr>
        <w:spacing w:after="0"/>
        <w:jc w:val="both"/>
      </w:pPr>
    </w:p>
    <w:p w14:paraId="7C6BE2C0" w14:textId="27DE6887" w:rsidR="00A4696B" w:rsidRDefault="00A4696B" w:rsidP="00176DA7">
      <w:pPr>
        <w:spacing w:after="0"/>
        <w:jc w:val="both"/>
      </w:pPr>
      <w:r>
        <w:t>Dans ce contexte difficile, la hausse des taux crée de nouvelles opportunités :</w:t>
      </w:r>
    </w:p>
    <w:p w14:paraId="1A5CB972" w14:textId="77777777" w:rsidR="00176DA7" w:rsidRDefault="00176DA7" w:rsidP="00176DA7">
      <w:pPr>
        <w:spacing w:after="0"/>
        <w:jc w:val="both"/>
      </w:pPr>
    </w:p>
    <w:p w14:paraId="51E6ECEA" w14:textId="385BE5D7" w:rsidR="00A4696B" w:rsidRDefault="00A4696B" w:rsidP="00A4696B">
      <w:pPr>
        <w:pStyle w:val="Paragraphedeliste"/>
        <w:numPr>
          <w:ilvl w:val="0"/>
          <w:numId w:val="40"/>
        </w:numPr>
        <w:jc w:val="both"/>
      </w:pPr>
      <w:r>
        <w:t xml:space="preserve">Les taux monétaires plus élevés permettent de mieux rémunérer la trésorerie d’entreprise : </w:t>
      </w:r>
      <w:r w:rsidR="00176DA7">
        <w:t>nous proposons</w:t>
      </w:r>
      <w:r>
        <w:t xml:space="preserve"> </w:t>
      </w:r>
      <w:r w:rsidR="00176DA7">
        <w:t xml:space="preserve">actuellement des </w:t>
      </w:r>
      <w:r w:rsidRPr="00176DA7">
        <w:rPr>
          <w:b/>
          <w:bCs/>
          <w:color w:val="C00000"/>
        </w:rPr>
        <w:t>comptes à terme</w:t>
      </w:r>
      <w:r w:rsidRPr="00176DA7">
        <w:rPr>
          <w:color w:val="C00000"/>
        </w:rPr>
        <w:t xml:space="preserve"> </w:t>
      </w:r>
      <w:r w:rsidR="00176DA7">
        <w:t>avec</w:t>
      </w:r>
      <w:r>
        <w:t xml:space="preserve"> un rendement de 2.60 % à 6 mois et 3.10 % à un an.</w:t>
      </w:r>
    </w:p>
    <w:p w14:paraId="231BAEF1" w14:textId="77777777" w:rsidR="00A4696B" w:rsidRDefault="00A4696B" w:rsidP="00A4696B">
      <w:pPr>
        <w:pStyle w:val="Paragraphedeliste"/>
        <w:jc w:val="both"/>
      </w:pPr>
    </w:p>
    <w:p w14:paraId="78131689" w14:textId="293A93D3" w:rsidR="00A4696B" w:rsidRDefault="00A4696B" w:rsidP="00A4696B">
      <w:pPr>
        <w:pStyle w:val="Paragraphedeliste"/>
        <w:numPr>
          <w:ilvl w:val="0"/>
          <w:numId w:val="40"/>
        </w:numPr>
        <w:jc w:val="both"/>
      </w:pPr>
      <w:r>
        <w:t xml:space="preserve">Alors que les marchés obligataires ne présentaient aucun intérêt ces dernières années, </w:t>
      </w:r>
      <w:r w:rsidRPr="00176DA7">
        <w:rPr>
          <w:b/>
          <w:bCs/>
          <w:color w:val="C00000"/>
        </w:rPr>
        <w:t>les obligations d’entreprises</w:t>
      </w:r>
      <w:r>
        <w:t xml:space="preserve"> offrent désormais des rendements compris entre 5 % et 9 % (en fonction de la notation des sociétés émettrices) sur des durées de 3 à 4 ans, avec un risque modéré. Des fonds obligataires « datés » </w:t>
      </w:r>
      <w:bookmarkStart w:id="0" w:name="_GoBack"/>
      <w:bookmarkEnd w:id="0"/>
      <w:r>
        <w:t xml:space="preserve">(à échéance connue) tels </w:t>
      </w:r>
      <w:proofErr w:type="spellStart"/>
      <w:r>
        <w:t>Sunny</w:t>
      </w:r>
      <w:proofErr w:type="spellEnd"/>
      <w:r>
        <w:t xml:space="preserve"> Opportunités 2025, </w:t>
      </w:r>
      <w:proofErr w:type="spellStart"/>
      <w:r w:rsidR="00DD73A9">
        <w:t>Sycoyield</w:t>
      </w:r>
      <w:proofErr w:type="spellEnd"/>
      <w:r w:rsidR="00DD73A9">
        <w:t xml:space="preserve"> 2026</w:t>
      </w:r>
      <w:r>
        <w:t xml:space="preserve">, Rothschild Target High </w:t>
      </w:r>
      <w:proofErr w:type="spellStart"/>
      <w:r>
        <w:t>Yield</w:t>
      </w:r>
      <w:proofErr w:type="spellEnd"/>
      <w:r>
        <w:t xml:space="preserve"> 2026 ou </w:t>
      </w:r>
      <w:proofErr w:type="spellStart"/>
      <w:r>
        <w:t>Swiss</w:t>
      </w:r>
      <w:proofErr w:type="spellEnd"/>
      <w:r>
        <w:t xml:space="preserve"> Life BHY 2026 permettent d’investir sur ces horizons.  </w:t>
      </w:r>
    </w:p>
    <w:p w14:paraId="6BA4E3FA" w14:textId="77777777" w:rsidR="00A4696B" w:rsidRDefault="00A4696B" w:rsidP="00A4696B">
      <w:pPr>
        <w:pStyle w:val="Paragraphedeliste"/>
      </w:pPr>
    </w:p>
    <w:p w14:paraId="6CF77087" w14:textId="6B2EFF2B" w:rsidR="00A4696B" w:rsidRDefault="00A4696B" w:rsidP="00A4696B">
      <w:pPr>
        <w:jc w:val="both"/>
      </w:pPr>
    </w:p>
    <w:p w14:paraId="04FFF6B5" w14:textId="6AA82863" w:rsidR="00A4696B" w:rsidRDefault="00A4696B" w:rsidP="00A4696B">
      <w:pPr>
        <w:jc w:val="both"/>
      </w:pPr>
    </w:p>
    <w:p w14:paraId="5022455D" w14:textId="4DCBF419" w:rsidR="00A4696B" w:rsidRDefault="00A4696B" w:rsidP="00A4696B">
      <w:pPr>
        <w:jc w:val="both"/>
      </w:pPr>
    </w:p>
    <w:p w14:paraId="246051D4" w14:textId="77777777" w:rsidR="00A4696B" w:rsidRDefault="00A4696B" w:rsidP="00A4696B">
      <w:pPr>
        <w:jc w:val="both"/>
      </w:pPr>
    </w:p>
    <w:p w14:paraId="351DDBD0" w14:textId="77777777" w:rsidR="00A4696B" w:rsidRDefault="00A4696B" w:rsidP="00A4696B">
      <w:pPr>
        <w:pStyle w:val="Paragraphedeliste"/>
        <w:numPr>
          <w:ilvl w:val="0"/>
          <w:numId w:val="40"/>
        </w:numPr>
        <w:jc w:val="both"/>
      </w:pPr>
      <w:r w:rsidRPr="00176DA7">
        <w:rPr>
          <w:b/>
          <w:bCs/>
          <w:color w:val="C00000"/>
        </w:rPr>
        <w:t>Les produits structurés</w:t>
      </w:r>
      <w:r w:rsidRPr="00176DA7">
        <w:rPr>
          <w:color w:val="C00000"/>
        </w:rPr>
        <w:t xml:space="preserve"> </w:t>
      </w:r>
      <w:r>
        <w:t xml:space="preserve">bénéficient également de la hausse des taux. </w:t>
      </w:r>
    </w:p>
    <w:p w14:paraId="0E552E0A" w14:textId="77777777" w:rsidR="00176DA7" w:rsidRPr="00176DA7" w:rsidRDefault="00176DA7" w:rsidP="00A4696B">
      <w:pPr>
        <w:pStyle w:val="Paragraphedeliste"/>
        <w:jc w:val="both"/>
        <w:rPr>
          <w:sz w:val="16"/>
          <w:szCs w:val="16"/>
        </w:rPr>
      </w:pPr>
    </w:p>
    <w:p w14:paraId="55869094" w14:textId="7242F8F1" w:rsidR="00A4696B" w:rsidRDefault="00A4696B" w:rsidP="00A4696B">
      <w:pPr>
        <w:pStyle w:val="Paragraphedeliste"/>
        <w:jc w:val="both"/>
      </w:pPr>
      <w:r>
        <w:t>Certains offrent ainsi désormais un capital garanti sur une durée de 5 ans soit avec un rendement fixe (par exemple 4 %) soit une rentabilité plus élevée (6 % à 9 %), conditionnée à la hausse d’un indice comme l’</w:t>
      </w:r>
      <w:proofErr w:type="spellStart"/>
      <w:r>
        <w:t>Eurostoxx</w:t>
      </w:r>
      <w:proofErr w:type="spellEnd"/>
      <w:r>
        <w:t xml:space="preserve"> 50 et d’un secteur (valeurs bancaires par exemple).</w:t>
      </w:r>
    </w:p>
    <w:p w14:paraId="0115A3AD" w14:textId="77777777" w:rsidR="00176DA7" w:rsidRPr="00176DA7" w:rsidRDefault="00176DA7" w:rsidP="00A4696B">
      <w:pPr>
        <w:pStyle w:val="Paragraphedeliste"/>
        <w:jc w:val="both"/>
        <w:rPr>
          <w:sz w:val="16"/>
          <w:szCs w:val="16"/>
        </w:rPr>
      </w:pPr>
    </w:p>
    <w:p w14:paraId="26656BB0" w14:textId="74D3EC1A" w:rsidR="00A4696B" w:rsidRDefault="00A4696B" w:rsidP="00A4696B">
      <w:pPr>
        <w:pStyle w:val="Paragraphedeliste"/>
        <w:jc w:val="both"/>
      </w:pPr>
      <w:r>
        <w:t>D’autres offrent un coupon élevé (8 % versé trimestriellement) et de fortes protections à la baisse des indices (capital protégé jusqu’à -50 % par exemple).</w:t>
      </w:r>
    </w:p>
    <w:p w14:paraId="1BE10453" w14:textId="77777777" w:rsidR="00A4696B" w:rsidRDefault="00A4696B" w:rsidP="00A4696B">
      <w:pPr>
        <w:pStyle w:val="Paragraphedeliste"/>
        <w:jc w:val="both"/>
      </w:pPr>
    </w:p>
    <w:p w14:paraId="226F9F46" w14:textId="6EAB3F24" w:rsidR="00A4696B" w:rsidRDefault="00A4696B" w:rsidP="00A4696B">
      <w:pPr>
        <w:pStyle w:val="Paragraphedeliste"/>
        <w:numPr>
          <w:ilvl w:val="0"/>
          <w:numId w:val="41"/>
        </w:numPr>
        <w:jc w:val="both"/>
      </w:pPr>
      <w:r>
        <w:t xml:space="preserve">Le reflux des valorisations des actions permet de commencer à se positionner sur des </w:t>
      </w:r>
      <w:r w:rsidRPr="00176DA7">
        <w:rPr>
          <w:b/>
          <w:bCs/>
          <w:color w:val="C00000"/>
        </w:rPr>
        <w:t xml:space="preserve">thématiques </w:t>
      </w:r>
      <w:r w:rsidR="00176DA7">
        <w:rPr>
          <w:b/>
          <w:bCs/>
          <w:color w:val="C00000"/>
        </w:rPr>
        <w:t xml:space="preserve">         </w:t>
      </w:r>
      <w:r w:rsidRPr="00176DA7">
        <w:rPr>
          <w:b/>
          <w:bCs/>
          <w:color w:val="C00000"/>
        </w:rPr>
        <w:t>porteuses à long terme</w:t>
      </w:r>
      <w:r>
        <w:t> :</w:t>
      </w:r>
    </w:p>
    <w:p w14:paraId="2F3DFFF8" w14:textId="77777777" w:rsidR="00A4696B" w:rsidRDefault="00A4696B" w:rsidP="00A4696B">
      <w:pPr>
        <w:pStyle w:val="Paragraphedeliste"/>
        <w:jc w:val="both"/>
      </w:pPr>
    </w:p>
    <w:p w14:paraId="7891A821" w14:textId="77777777" w:rsidR="00A4696B" w:rsidRDefault="00A4696B" w:rsidP="00A4696B">
      <w:pPr>
        <w:pStyle w:val="Paragraphedeliste"/>
        <w:numPr>
          <w:ilvl w:val="0"/>
          <w:numId w:val="39"/>
        </w:numPr>
        <w:jc w:val="both"/>
      </w:pPr>
      <w:r>
        <w:t>Les énergies renouvelables et la transition écologique.</w:t>
      </w:r>
    </w:p>
    <w:p w14:paraId="06EBEE6E" w14:textId="77777777" w:rsidR="00A4696B" w:rsidRDefault="00A4696B" w:rsidP="00A4696B">
      <w:pPr>
        <w:pStyle w:val="Paragraphedeliste"/>
        <w:numPr>
          <w:ilvl w:val="0"/>
          <w:numId w:val="39"/>
        </w:numPr>
        <w:jc w:val="both"/>
      </w:pPr>
      <w:r>
        <w:t>Les infrastructures, dont deux tiers des revenus au moins sont indexés à l’inflation.</w:t>
      </w:r>
    </w:p>
    <w:p w14:paraId="2426AFEE" w14:textId="77777777" w:rsidR="00A4696B" w:rsidRDefault="00A4696B" w:rsidP="00A4696B">
      <w:pPr>
        <w:pStyle w:val="Paragraphedeliste"/>
        <w:numPr>
          <w:ilvl w:val="0"/>
          <w:numId w:val="39"/>
        </w:numPr>
        <w:jc w:val="both"/>
      </w:pPr>
      <w:r>
        <w:t>Le bois via le fonds Pictet Timber ou directement des fonds forestiers non cotés tels France Valley Patrimoine ou Cœur Forest, gérés dans le respect du développement durable.</w:t>
      </w:r>
    </w:p>
    <w:p w14:paraId="7B37F940" w14:textId="77777777" w:rsidR="00A4696B" w:rsidRDefault="00A4696B" w:rsidP="00A4696B">
      <w:pPr>
        <w:pStyle w:val="Paragraphedeliste"/>
        <w:numPr>
          <w:ilvl w:val="0"/>
          <w:numId w:val="39"/>
        </w:numPr>
        <w:jc w:val="both"/>
      </w:pPr>
      <w:r>
        <w:t>Les valeurs de « rendement », offrant un dividende élevé et en progression, souvent appartenant à la gestion « value » (valeurs décotées), thématique recherchée dans un environnement inflationniste.</w:t>
      </w:r>
    </w:p>
    <w:p w14:paraId="2D620A81" w14:textId="77777777" w:rsidR="00A4696B" w:rsidRDefault="00A4696B" w:rsidP="00A4696B">
      <w:pPr>
        <w:ind w:firstLine="708"/>
        <w:jc w:val="both"/>
      </w:pPr>
      <w:r>
        <w:t>Il parait en revanche prématuré de réinvestir sur les valeurs de croissance.</w:t>
      </w:r>
    </w:p>
    <w:p w14:paraId="1158053A" w14:textId="77777777" w:rsidR="00176DA7" w:rsidRDefault="00A4696B" w:rsidP="00176DA7">
      <w:pPr>
        <w:spacing w:after="0"/>
        <w:ind w:left="708"/>
        <w:jc w:val="both"/>
      </w:pPr>
      <w:r>
        <w:t>Dans un contexte volatil et encore très incertain, un investissement progressif est recommandé.</w:t>
      </w:r>
    </w:p>
    <w:p w14:paraId="2539D340" w14:textId="4227F112" w:rsidR="00A4696B" w:rsidRDefault="00A4696B" w:rsidP="00176DA7">
      <w:pPr>
        <w:spacing w:after="0"/>
        <w:ind w:left="708"/>
        <w:jc w:val="both"/>
      </w:pPr>
      <w:r>
        <w:t xml:space="preserve"> </w:t>
      </w:r>
    </w:p>
    <w:p w14:paraId="7386077A" w14:textId="77777777" w:rsidR="00176DA7" w:rsidRDefault="00176DA7" w:rsidP="00176DA7">
      <w:pPr>
        <w:pStyle w:val="Paragraphedeliste"/>
        <w:spacing w:after="0"/>
        <w:jc w:val="both"/>
      </w:pPr>
    </w:p>
    <w:p w14:paraId="1EF45E7D" w14:textId="77777777" w:rsidR="00A4696B" w:rsidRDefault="00A4696B" w:rsidP="00A4696B">
      <w:pPr>
        <w:pStyle w:val="Paragraphedeliste"/>
        <w:jc w:val="both"/>
      </w:pPr>
    </w:p>
    <w:p w14:paraId="1FD99603" w14:textId="2E16E5AC" w:rsidR="00A4696B" w:rsidRDefault="00A4696B" w:rsidP="00A4696B">
      <w:pPr>
        <w:pBdr>
          <w:top w:val="single" w:sz="4" w:space="1" w:color="auto"/>
          <w:left w:val="single" w:sz="4" w:space="4" w:color="auto"/>
          <w:bottom w:val="single" w:sz="4" w:space="1" w:color="auto"/>
          <w:right w:val="single" w:sz="4" w:space="4" w:color="auto"/>
        </w:pBdr>
        <w:jc w:val="both"/>
        <w:rPr>
          <w:b/>
          <w:bCs/>
        </w:rPr>
      </w:pPr>
      <w:r w:rsidRPr="000E4973">
        <w:rPr>
          <w:b/>
          <w:bCs/>
        </w:rPr>
        <w:t xml:space="preserve">L’environnement plus inflationniste et le niveau des taux d’intérêt modifient radicalement les perspectives </w:t>
      </w:r>
      <w:proofErr w:type="gramStart"/>
      <w:r w:rsidRPr="000E4973">
        <w:rPr>
          <w:b/>
          <w:bCs/>
        </w:rPr>
        <w:t>d’investissement</w:t>
      </w:r>
      <w:proofErr w:type="gramEnd"/>
      <w:r w:rsidRPr="000E4973">
        <w:rPr>
          <w:b/>
          <w:bCs/>
        </w:rPr>
        <w:t>. L’effet TINA (There Is No Alternative) qui poussait, dans un monde à taux zéro, tous les</w:t>
      </w:r>
      <w:r w:rsidR="001A1AB6">
        <w:rPr>
          <w:b/>
          <w:bCs/>
        </w:rPr>
        <w:t xml:space="preserve"> flux</w:t>
      </w:r>
      <w:r w:rsidRPr="000E4973">
        <w:rPr>
          <w:b/>
          <w:bCs/>
        </w:rPr>
        <w:t xml:space="preserve"> </w:t>
      </w:r>
      <w:r w:rsidR="001A1AB6">
        <w:rPr>
          <w:b/>
          <w:bCs/>
        </w:rPr>
        <w:t xml:space="preserve">        d’</w:t>
      </w:r>
      <w:r w:rsidRPr="000E4973">
        <w:rPr>
          <w:b/>
          <w:bCs/>
        </w:rPr>
        <w:t>investissement vers les actions, ne jouera plus.</w:t>
      </w:r>
    </w:p>
    <w:p w14:paraId="795CB832" w14:textId="77777777" w:rsidR="00A4696B" w:rsidRPr="000E4973" w:rsidRDefault="00A4696B" w:rsidP="00A4696B">
      <w:pPr>
        <w:pBdr>
          <w:top w:val="single" w:sz="4" w:space="1" w:color="auto"/>
          <w:left w:val="single" w:sz="4" w:space="4" w:color="auto"/>
          <w:bottom w:val="single" w:sz="4" w:space="1" w:color="auto"/>
          <w:right w:val="single" w:sz="4" w:space="4" w:color="auto"/>
        </w:pBdr>
        <w:jc w:val="both"/>
        <w:rPr>
          <w:b/>
          <w:bCs/>
        </w:rPr>
      </w:pPr>
      <w:r w:rsidRPr="000E4973">
        <w:rPr>
          <w:b/>
          <w:bCs/>
        </w:rPr>
        <w:t>Par ailleurs, les gagnants de la dernière décennie (les valeurs technologiques US par exemple) risquent d’être arbitrés au profit d’actifs dont la valorisation est plus abordable et moins pénalisés par l’inflation, dont certains sont cités plus haut.</w:t>
      </w:r>
    </w:p>
    <w:p w14:paraId="0BAD60C6" w14:textId="77777777" w:rsidR="00A4696B" w:rsidRPr="00A4696B" w:rsidRDefault="00A4696B" w:rsidP="00A4696B"/>
    <w:sectPr w:rsidR="00A4696B" w:rsidRPr="00A4696B" w:rsidSect="00A4696B">
      <w:type w:val="continuous"/>
      <w:pgSz w:w="11906" w:h="16838"/>
      <w:pgMar w:top="1418" w:right="851" w:bottom="1418" w:left="992"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D16707" w14:textId="77777777" w:rsidR="00F53CA1" w:rsidRDefault="00F53CA1" w:rsidP="0098643B">
      <w:pPr>
        <w:spacing w:after="0" w:line="240" w:lineRule="auto"/>
      </w:pPr>
      <w:r>
        <w:separator/>
      </w:r>
    </w:p>
  </w:endnote>
  <w:endnote w:type="continuationSeparator" w:id="0">
    <w:p w14:paraId="32EA5D09" w14:textId="77777777" w:rsidR="00F53CA1" w:rsidRDefault="00F53CA1" w:rsidP="00986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72159" w14:textId="59360366" w:rsidR="00006F13" w:rsidRPr="00C40225" w:rsidRDefault="00006F13" w:rsidP="00006F13">
    <w:pPr>
      <w:pStyle w:val="Pieddepage"/>
      <w:rPr>
        <w:sz w:val="20"/>
        <w:szCs w:val="20"/>
      </w:rPr>
    </w:pPr>
    <w:r>
      <w:rPr>
        <w:noProof/>
        <w:lang w:eastAsia="fr-FR"/>
      </w:rPr>
      <mc:AlternateContent>
        <mc:Choice Requires="wps">
          <w:drawing>
            <wp:anchor distT="0" distB="0" distL="114300" distR="114300" simplePos="0" relativeHeight="251668480" behindDoc="0" locked="0" layoutInCell="1" allowOverlap="1" wp14:anchorId="631D3C02" wp14:editId="5191670E">
              <wp:simplePos x="0" y="0"/>
              <wp:positionH relativeFrom="page">
                <wp:posOffset>133350</wp:posOffset>
              </wp:positionH>
              <wp:positionV relativeFrom="paragraph">
                <wp:posOffset>-45085</wp:posOffset>
              </wp:positionV>
              <wp:extent cx="7534275" cy="0"/>
              <wp:effectExtent l="0" t="0" r="28575" b="19050"/>
              <wp:wrapNone/>
              <wp:docPr id="27" name="Connecteur droit 27"/>
              <wp:cNvGraphicFramePr/>
              <a:graphic xmlns:a="http://schemas.openxmlformats.org/drawingml/2006/main">
                <a:graphicData uri="http://schemas.microsoft.com/office/word/2010/wordprocessingShape">
                  <wps:wsp>
                    <wps:cNvCnPr/>
                    <wps:spPr>
                      <a:xfrm flipV="1">
                        <a:off x="0" y="0"/>
                        <a:ext cx="7534275" cy="0"/>
                      </a:xfrm>
                      <a:prstGeom prst="line">
                        <a:avLst/>
                      </a:prstGeom>
                      <a:noFill/>
                      <a:ln w="25400" cap="flat" cmpd="sng" algn="ctr">
                        <a:solidFill>
                          <a:schemeClr val="tx2"/>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1CC28F5" id="Connecteur droit 27" o:spid="_x0000_s1026" style="position:absolute;flip:y;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0.5pt,-3.55pt" to="603.7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" strokecolor="#44546a [3215]" strokeweight="2pt">
              <v:stroke joinstyle="miter"/>
              <w10:wrap anchorx="page"/>
            </v:line>
          </w:pict>
        </mc:Fallback>
      </mc:AlternateContent>
    </w:r>
    <w:r>
      <w:rPr>
        <w:sz w:val="20"/>
        <w:szCs w:val="20"/>
      </w:rPr>
      <w:t>SINDEL – 74 Avenue Gustave Flaubert -  76000 Rouen</w:t>
    </w:r>
    <w:r w:rsidRPr="00C40225">
      <w:rPr>
        <w:sz w:val="20"/>
        <w:szCs w:val="20"/>
      </w:rPr>
      <w:t xml:space="preserve"> – Tel : </w:t>
    </w:r>
    <w:r>
      <w:rPr>
        <w:sz w:val="20"/>
        <w:szCs w:val="20"/>
      </w:rPr>
      <w:t>02 35 73 15 20</w:t>
    </w:r>
    <w:r w:rsidRPr="00C40225">
      <w:rPr>
        <w:sz w:val="20"/>
        <w:szCs w:val="20"/>
      </w:rPr>
      <w:t xml:space="preserve"> – contact@</w:t>
    </w:r>
    <w:r>
      <w:rPr>
        <w:sz w:val="20"/>
        <w:szCs w:val="20"/>
      </w:rPr>
      <w:t>sindelsarl.fr</w:t>
    </w:r>
  </w:p>
  <w:p w14:paraId="2E06B211" w14:textId="1413DDF0" w:rsidR="00CE3466" w:rsidRDefault="00CE3466" w:rsidP="00C4022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C97CD7" w14:textId="77777777" w:rsidR="00F53CA1" w:rsidRDefault="00F53CA1" w:rsidP="0098643B">
      <w:pPr>
        <w:spacing w:after="0" w:line="240" w:lineRule="auto"/>
      </w:pPr>
      <w:r>
        <w:separator/>
      </w:r>
    </w:p>
  </w:footnote>
  <w:footnote w:type="continuationSeparator" w:id="0">
    <w:p w14:paraId="070830C0" w14:textId="77777777" w:rsidR="00F53CA1" w:rsidRDefault="00F53CA1" w:rsidP="009864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24154" w14:textId="77777777" w:rsidR="00CE3466" w:rsidRDefault="00CC718F" w:rsidP="00BB44A8">
    <w:pPr>
      <w:pStyle w:val="En-tte"/>
      <w:ind w:left="-992"/>
    </w:pPr>
    <w:r w:rsidRPr="0098643B">
      <w:rPr>
        <w:noProof/>
        <w:lang w:eastAsia="fr-FR"/>
      </w:rPr>
      <w:drawing>
        <wp:anchor distT="0" distB="0" distL="114300" distR="114300" simplePos="0" relativeHeight="251672576" behindDoc="0" locked="0" layoutInCell="1" allowOverlap="1" wp14:anchorId="25B14881" wp14:editId="0176C2D3">
          <wp:simplePos x="0" y="0"/>
          <wp:positionH relativeFrom="page">
            <wp:align>left</wp:align>
          </wp:positionH>
          <wp:positionV relativeFrom="paragraph">
            <wp:posOffset>-10795</wp:posOffset>
          </wp:positionV>
          <wp:extent cx="2762250" cy="1837690"/>
          <wp:effectExtent l="0" t="0" r="0" b="0"/>
          <wp:wrapThrough wrapText="bothSides">
            <wp:wrapPolygon edited="0">
              <wp:start x="0" y="0"/>
              <wp:lineTo x="0" y="21272"/>
              <wp:lineTo x="21451" y="21272"/>
              <wp:lineTo x="21451" y="0"/>
              <wp:lineTo x="0" y="0"/>
            </wp:wrapPolygon>
          </wp:wrapThrough>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iele\Pictures\2016-3.jpg"/>
                  <pic:cNvPicPr>
                    <a:picLocks noChangeAspect="1" noChangeArrowheads="1"/>
                  </pic:cNvPicPr>
                </pic:nvPicPr>
                <pic:blipFill>
                  <a:blip r:embed="rId1">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2762250" cy="1837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3466">
      <w:rPr>
        <w:noProof/>
        <w:lang w:eastAsia="fr-FR"/>
      </w:rPr>
      <mc:AlternateContent>
        <mc:Choice Requires="wps">
          <w:drawing>
            <wp:anchor distT="0" distB="0" distL="114300" distR="114300" simplePos="0" relativeHeight="251666432" behindDoc="0" locked="0" layoutInCell="1" allowOverlap="1" wp14:anchorId="6A883CCA" wp14:editId="07910FF1">
              <wp:simplePos x="0" y="0"/>
              <wp:positionH relativeFrom="column">
                <wp:posOffset>-629920</wp:posOffset>
              </wp:positionH>
              <wp:positionV relativeFrom="paragraph">
                <wp:posOffset>0</wp:posOffset>
              </wp:positionV>
              <wp:extent cx="7561580" cy="1847850"/>
              <wp:effectExtent l="0" t="0" r="1270" b="0"/>
              <wp:wrapNone/>
              <wp:docPr id="23" name="Zone de texte 23"/>
              <wp:cNvGraphicFramePr/>
              <a:graphic xmlns:a="http://schemas.openxmlformats.org/drawingml/2006/main">
                <a:graphicData uri="http://schemas.microsoft.com/office/word/2010/wordprocessingShape">
                  <wps:wsp>
                    <wps:cNvSpPr txBox="1"/>
                    <wps:spPr>
                      <a:xfrm>
                        <a:off x="0" y="0"/>
                        <a:ext cx="7561580" cy="1847850"/>
                      </a:xfrm>
                      <a:prstGeom prst="rect">
                        <a:avLst/>
                      </a:prstGeom>
                      <a:solidFill>
                        <a:srgbClr val="6C8EA5"/>
                      </a:solidFill>
                      <a:ln w="6350">
                        <a:noFill/>
                      </a:ln>
                      <a:effectLst/>
                    </wps:spPr>
                    <wps:txbx>
                      <w:txbxContent>
                        <w:p w14:paraId="7189636A" w14:textId="77777777" w:rsidR="00CE3466" w:rsidRDefault="00CE3466" w:rsidP="00522702">
                          <w:pPr>
                            <w:jc w:val="right"/>
                            <w:rPr>
                              <w:sz w:val="36"/>
                              <w:szCs w:val="36"/>
                            </w:rPr>
                          </w:pPr>
                        </w:p>
                        <w:p w14:paraId="3EB7DF1B" w14:textId="77777777" w:rsidR="00AA3D27" w:rsidRDefault="00AA3D27" w:rsidP="00AA3D27">
                          <w:pPr>
                            <w:ind w:right="362"/>
                            <w:jc w:val="right"/>
                            <w:rPr>
                              <w:b/>
                              <w:i/>
                              <w:color w:val="FFFFFF" w:themeColor="background1"/>
                              <w:sz w:val="52"/>
                              <w:szCs w:val="52"/>
                            </w:rPr>
                          </w:pPr>
                          <w:r>
                            <w:rPr>
                              <w:b/>
                              <w:i/>
                              <w:color w:val="FFFFFF" w:themeColor="background1"/>
                              <w:sz w:val="52"/>
                              <w:szCs w:val="52"/>
                            </w:rPr>
                            <w:t>MARCHES FINANCIERS</w:t>
                          </w:r>
                        </w:p>
                        <w:p w14:paraId="0699A4A6" w14:textId="385FB27B" w:rsidR="00CE3466" w:rsidRDefault="004A24E5" w:rsidP="004A24E5">
                          <w:pPr>
                            <w:pStyle w:val="Sansinterligne"/>
                            <w:ind w:right="362"/>
                            <w:jc w:val="center"/>
                            <w:rPr>
                              <w:b/>
                              <w:i/>
                              <w:color w:val="FFFFFF" w:themeColor="background1"/>
                              <w:sz w:val="52"/>
                              <w:szCs w:val="52"/>
                            </w:rPr>
                          </w:pPr>
                          <w:r>
                            <w:rPr>
                              <w:i/>
                              <w:color w:val="FFFFFF" w:themeColor="background1"/>
                              <w:sz w:val="52"/>
                              <w:szCs w:val="52"/>
                            </w:rPr>
                            <w:t xml:space="preserve">                                       Bilan 202</w:t>
                          </w:r>
                          <w:r w:rsidR="00A4696B">
                            <w:rPr>
                              <w:i/>
                              <w:color w:val="FFFFFF" w:themeColor="background1"/>
                              <w:sz w:val="52"/>
                              <w:szCs w:val="52"/>
                            </w:rPr>
                            <w:t>2</w:t>
                          </w:r>
                          <w:r>
                            <w:rPr>
                              <w:i/>
                              <w:color w:val="FFFFFF" w:themeColor="background1"/>
                              <w:sz w:val="52"/>
                              <w:szCs w:val="52"/>
                            </w:rPr>
                            <w:t xml:space="preserve"> et perspectives 202</w:t>
                          </w:r>
                          <w:r w:rsidR="00A4696B">
                            <w:rPr>
                              <w:i/>
                              <w:color w:val="FFFFFF" w:themeColor="background1"/>
                              <w:sz w:val="52"/>
                              <w:szCs w:val="52"/>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6A883CCA" id="_x0000_t202" coordsize="21600,21600" o:spt="202" path="m,l,21600r21600,l21600,xe">
              <v:stroke joinstyle="miter"/>
              <v:path gradientshapeok="t" o:connecttype="rect"/>
            </v:shapetype>
            <v:shape id="Zone de texte 23" o:spid="_x0000_s1026" type="#_x0000_t202" style="position:absolute;left:0;text-align:left;margin-left:-49.6pt;margin-top:0;width:595.4pt;height:14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" fillcolor="#6c8ea5" stroked="f" strokeweight=".5pt">
              <v:textbox>
                <w:txbxContent>
                  <w:p w14:paraId="7189636A" w14:textId="77777777" w:rsidR="00CE3466" w:rsidRDefault="00CE3466" w:rsidP="00522702">
                    <w:pPr>
                      <w:jc w:val="right"/>
                      <w:rPr>
                        <w:sz w:val="36"/>
                        <w:szCs w:val="36"/>
                      </w:rPr>
                    </w:pPr>
                  </w:p>
                  <w:p w14:paraId="3EB7DF1B" w14:textId="77777777" w:rsidR="00AA3D27" w:rsidRDefault="00AA3D27" w:rsidP="00AA3D27">
                    <w:pPr>
                      <w:ind w:right="362"/>
                      <w:jc w:val="right"/>
                      <w:rPr>
                        <w:b/>
                        <w:i/>
                        <w:color w:val="FFFFFF" w:themeColor="background1"/>
                        <w:sz w:val="52"/>
                        <w:szCs w:val="52"/>
                      </w:rPr>
                    </w:pPr>
                    <w:r>
                      <w:rPr>
                        <w:b/>
                        <w:i/>
                        <w:color w:val="FFFFFF" w:themeColor="background1"/>
                        <w:sz w:val="52"/>
                        <w:szCs w:val="52"/>
                      </w:rPr>
                      <w:t>MARCHES FINANCIERS</w:t>
                    </w:r>
                  </w:p>
                  <w:p w14:paraId="0699A4A6" w14:textId="385FB27B" w:rsidR="00CE3466" w:rsidRDefault="004A24E5" w:rsidP="004A24E5">
                    <w:pPr>
                      <w:pStyle w:val="Sansinterligne"/>
                      <w:ind w:right="362"/>
                      <w:jc w:val="center"/>
                      <w:rPr>
                        <w:b/>
                        <w:i/>
                        <w:color w:val="FFFFFF" w:themeColor="background1"/>
                        <w:sz w:val="52"/>
                        <w:szCs w:val="52"/>
                      </w:rPr>
                    </w:pPr>
                    <w:r>
                      <w:rPr>
                        <w:i/>
                        <w:color w:val="FFFFFF" w:themeColor="background1"/>
                        <w:sz w:val="52"/>
                        <w:szCs w:val="52"/>
                      </w:rPr>
                      <w:t xml:space="preserve">                                       Bilan 202</w:t>
                    </w:r>
                    <w:r w:rsidR="00A4696B">
                      <w:rPr>
                        <w:i/>
                        <w:color w:val="FFFFFF" w:themeColor="background1"/>
                        <w:sz w:val="52"/>
                        <w:szCs w:val="52"/>
                      </w:rPr>
                      <w:t>2</w:t>
                    </w:r>
                    <w:r>
                      <w:rPr>
                        <w:i/>
                        <w:color w:val="FFFFFF" w:themeColor="background1"/>
                        <w:sz w:val="52"/>
                        <w:szCs w:val="52"/>
                      </w:rPr>
                      <w:t xml:space="preserve"> et perspectives 202</w:t>
                    </w:r>
                    <w:r w:rsidR="00A4696B">
                      <w:rPr>
                        <w:i/>
                        <w:color w:val="FFFFFF" w:themeColor="background1"/>
                        <w:sz w:val="52"/>
                        <w:szCs w:val="52"/>
                      </w:rPr>
                      <w:t>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F62E1"/>
    <w:multiLevelType w:val="hybridMultilevel"/>
    <w:tmpl w:val="1608A18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487454"/>
    <w:multiLevelType w:val="hybridMultilevel"/>
    <w:tmpl w:val="E3ACF30C"/>
    <w:lvl w:ilvl="0" w:tplc="F4341F8E">
      <w:start w:val="2019"/>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804A26"/>
    <w:multiLevelType w:val="hybridMultilevel"/>
    <w:tmpl w:val="C9682482"/>
    <w:lvl w:ilvl="0" w:tplc="040C0005">
      <w:start w:val="1"/>
      <w:numFmt w:val="bullet"/>
      <w:lvlText w:val=""/>
      <w:lvlJc w:val="left"/>
      <w:pPr>
        <w:ind w:left="153" w:hanging="360"/>
      </w:pPr>
      <w:rPr>
        <w:rFonts w:ascii="Wingdings" w:hAnsi="Wingdings" w:hint="default"/>
        <w:color w:val="BA3B47"/>
        <w:sz w:val="24"/>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3" w15:restartNumberingAfterBreak="0">
    <w:nsid w:val="0E755A49"/>
    <w:multiLevelType w:val="hybridMultilevel"/>
    <w:tmpl w:val="EED04C5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E80FDB"/>
    <w:multiLevelType w:val="hybridMultilevel"/>
    <w:tmpl w:val="0492A1B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F27F99"/>
    <w:multiLevelType w:val="hybridMultilevel"/>
    <w:tmpl w:val="DDFCB966"/>
    <w:lvl w:ilvl="0" w:tplc="16DC7DD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851751"/>
    <w:multiLevelType w:val="hybridMultilevel"/>
    <w:tmpl w:val="321E07EC"/>
    <w:lvl w:ilvl="0" w:tplc="06623C64">
      <w:start w:val="1"/>
      <w:numFmt w:val="bullet"/>
      <w:lvlText w:val="-"/>
      <w:lvlJc w:val="left"/>
      <w:pPr>
        <w:ind w:left="360" w:hanging="360"/>
      </w:pPr>
      <w:rPr>
        <w:rFonts w:ascii="Calibri" w:hAnsi="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16F040F"/>
    <w:multiLevelType w:val="hybridMultilevel"/>
    <w:tmpl w:val="A3289FC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6340294"/>
    <w:multiLevelType w:val="hybridMultilevel"/>
    <w:tmpl w:val="4F9A474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C093B71"/>
    <w:multiLevelType w:val="hybridMultilevel"/>
    <w:tmpl w:val="475279E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C2A1D1A"/>
    <w:multiLevelType w:val="hybridMultilevel"/>
    <w:tmpl w:val="F7A62DD8"/>
    <w:lvl w:ilvl="0" w:tplc="486CAC2E">
      <w:numFmt w:val="bullet"/>
      <w:lvlText w:val="-"/>
      <w:lvlJc w:val="left"/>
      <w:pPr>
        <w:ind w:left="513" w:hanging="360"/>
      </w:pPr>
      <w:rPr>
        <w:rFonts w:ascii="Calibri" w:eastAsiaTheme="minorHAnsi" w:hAnsi="Calibri" w:cstheme="minorBidi" w:hint="default"/>
        <w:sz w:val="22"/>
      </w:rPr>
    </w:lvl>
    <w:lvl w:ilvl="1" w:tplc="040C0003" w:tentative="1">
      <w:start w:val="1"/>
      <w:numFmt w:val="bullet"/>
      <w:lvlText w:val="o"/>
      <w:lvlJc w:val="left"/>
      <w:pPr>
        <w:ind w:left="1233" w:hanging="360"/>
      </w:pPr>
      <w:rPr>
        <w:rFonts w:ascii="Courier New" w:hAnsi="Courier New" w:cs="Courier New" w:hint="default"/>
      </w:rPr>
    </w:lvl>
    <w:lvl w:ilvl="2" w:tplc="040C0005" w:tentative="1">
      <w:start w:val="1"/>
      <w:numFmt w:val="bullet"/>
      <w:lvlText w:val=""/>
      <w:lvlJc w:val="left"/>
      <w:pPr>
        <w:ind w:left="1953" w:hanging="360"/>
      </w:pPr>
      <w:rPr>
        <w:rFonts w:ascii="Wingdings" w:hAnsi="Wingdings" w:hint="default"/>
      </w:rPr>
    </w:lvl>
    <w:lvl w:ilvl="3" w:tplc="040C0001" w:tentative="1">
      <w:start w:val="1"/>
      <w:numFmt w:val="bullet"/>
      <w:lvlText w:val=""/>
      <w:lvlJc w:val="left"/>
      <w:pPr>
        <w:ind w:left="2673" w:hanging="360"/>
      </w:pPr>
      <w:rPr>
        <w:rFonts w:ascii="Symbol" w:hAnsi="Symbol" w:hint="default"/>
      </w:rPr>
    </w:lvl>
    <w:lvl w:ilvl="4" w:tplc="040C0003" w:tentative="1">
      <w:start w:val="1"/>
      <w:numFmt w:val="bullet"/>
      <w:lvlText w:val="o"/>
      <w:lvlJc w:val="left"/>
      <w:pPr>
        <w:ind w:left="3393" w:hanging="360"/>
      </w:pPr>
      <w:rPr>
        <w:rFonts w:ascii="Courier New" w:hAnsi="Courier New" w:cs="Courier New" w:hint="default"/>
      </w:rPr>
    </w:lvl>
    <w:lvl w:ilvl="5" w:tplc="040C0005" w:tentative="1">
      <w:start w:val="1"/>
      <w:numFmt w:val="bullet"/>
      <w:lvlText w:val=""/>
      <w:lvlJc w:val="left"/>
      <w:pPr>
        <w:ind w:left="4113" w:hanging="360"/>
      </w:pPr>
      <w:rPr>
        <w:rFonts w:ascii="Wingdings" w:hAnsi="Wingdings" w:hint="default"/>
      </w:rPr>
    </w:lvl>
    <w:lvl w:ilvl="6" w:tplc="040C0001" w:tentative="1">
      <w:start w:val="1"/>
      <w:numFmt w:val="bullet"/>
      <w:lvlText w:val=""/>
      <w:lvlJc w:val="left"/>
      <w:pPr>
        <w:ind w:left="4833" w:hanging="360"/>
      </w:pPr>
      <w:rPr>
        <w:rFonts w:ascii="Symbol" w:hAnsi="Symbol" w:hint="default"/>
      </w:rPr>
    </w:lvl>
    <w:lvl w:ilvl="7" w:tplc="040C0003" w:tentative="1">
      <w:start w:val="1"/>
      <w:numFmt w:val="bullet"/>
      <w:lvlText w:val="o"/>
      <w:lvlJc w:val="left"/>
      <w:pPr>
        <w:ind w:left="5553" w:hanging="360"/>
      </w:pPr>
      <w:rPr>
        <w:rFonts w:ascii="Courier New" w:hAnsi="Courier New" w:cs="Courier New" w:hint="default"/>
      </w:rPr>
    </w:lvl>
    <w:lvl w:ilvl="8" w:tplc="040C0005" w:tentative="1">
      <w:start w:val="1"/>
      <w:numFmt w:val="bullet"/>
      <w:lvlText w:val=""/>
      <w:lvlJc w:val="left"/>
      <w:pPr>
        <w:ind w:left="6273" w:hanging="360"/>
      </w:pPr>
      <w:rPr>
        <w:rFonts w:ascii="Wingdings" w:hAnsi="Wingdings" w:hint="default"/>
      </w:rPr>
    </w:lvl>
  </w:abstractNum>
  <w:abstractNum w:abstractNumId="11" w15:restartNumberingAfterBreak="0">
    <w:nsid w:val="1DA57CB6"/>
    <w:multiLevelType w:val="hybridMultilevel"/>
    <w:tmpl w:val="390011EE"/>
    <w:lvl w:ilvl="0" w:tplc="9878ACC6">
      <w:start w:val="1"/>
      <w:numFmt w:val="bullet"/>
      <w:lvlText w:val=""/>
      <w:lvlJc w:val="left"/>
      <w:pPr>
        <w:ind w:left="630" w:hanging="360"/>
      </w:pPr>
      <w:rPr>
        <w:rFonts w:ascii="Wingdings" w:hAnsi="Wingdings" w:hint="default"/>
        <w:sz w:val="24"/>
      </w:rPr>
    </w:lvl>
    <w:lvl w:ilvl="1" w:tplc="040C0003" w:tentative="1">
      <w:start w:val="1"/>
      <w:numFmt w:val="bullet"/>
      <w:lvlText w:val="o"/>
      <w:lvlJc w:val="left"/>
      <w:pPr>
        <w:ind w:left="1350" w:hanging="360"/>
      </w:pPr>
      <w:rPr>
        <w:rFonts w:ascii="Courier New" w:hAnsi="Courier New" w:cs="Courier New" w:hint="default"/>
      </w:rPr>
    </w:lvl>
    <w:lvl w:ilvl="2" w:tplc="040C0005" w:tentative="1">
      <w:start w:val="1"/>
      <w:numFmt w:val="bullet"/>
      <w:lvlText w:val=""/>
      <w:lvlJc w:val="left"/>
      <w:pPr>
        <w:ind w:left="2070" w:hanging="360"/>
      </w:pPr>
      <w:rPr>
        <w:rFonts w:ascii="Wingdings" w:hAnsi="Wingdings" w:hint="default"/>
      </w:rPr>
    </w:lvl>
    <w:lvl w:ilvl="3" w:tplc="040C0001" w:tentative="1">
      <w:start w:val="1"/>
      <w:numFmt w:val="bullet"/>
      <w:lvlText w:val=""/>
      <w:lvlJc w:val="left"/>
      <w:pPr>
        <w:ind w:left="2790" w:hanging="360"/>
      </w:pPr>
      <w:rPr>
        <w:rFonts w:ascii="Symbol" w:hAnsi="Symbol" w:hint="default"/>
      </w:rPr>
    </w:lvl>
    <w:lvl w:ilvl="4" w:tplc="040C0003" w:tentative="1">
      <w:start w:val="1"/>
      <w:numFmt w:val="bullet"/>
      <w:lvlText w:val="o"/>
      <w:lvlJc w:val="left"/>
      <w:pPr>
        <w:ind w:left="3510" w:hanging="360"/>
      </w:pPr>
      <w:rPr>
        <w:rFonts w:ascii="Courier New" w:hAnsi="Courier New" w:cs="Courier New" w:hint="default"/>
      </w:rPr>
    </w:lvl>
    <w:lvl w:ilvl="5" w:tplc="040C0005" w:tentative="1">
      <w:start w:val="1"/>
      <w:numFmt w:val="bullet"/>
      <w:lvlText w:val=""/>
      <w:lvlJc w:val="left"/>
      <w:pPr>
        <w:ind w:left="4230" w:hanging="360"/>
      </w:pPr>
      <w:rPr>
        <w:rFonts w:ascii="Wingdings" w:hAnsi="Wingdings" w:hint="default"/>
      </w:rPr>
    </w:lvl>
    <w:lvl w:ilvl="6" w:tplc="040C0001" w:tentative="1">
      <w:start w:val="1"/>
      <w:numFmt w:val="bullet"/>
      <w:lvlText w:val=""/>
      <w:lvlJc w:val="left"/>
      <w:pPr>
        <w:ind w:left="4950" w:hanging="360"/>
      </w:pPr>
      <w:rPr>
        <w:rFonts w:ascii="Symbol" w:hAnsi="Symbol" w:hint="default"/>
      </w:rPr>
    </w:lvl>
    <w:lvl w:ilvl="7" w:tplc="040C0003" w:tentative="1">
      <w:start w:val="1"/>
      <w:numFmt w:val="bullet"/>
      <w:lvlText w:val="o"/>
      <w:lvlJc w:val="left"/>
      <w:pPr>
        <w:ind w:left="5670" w:hanging="360"/>
      </w:pPr>
      <w:rPr>
        <w:rFonts w:ascii="Courier New" w:hAnsi="Courier New" w:cs="Courier New" w:hint="default"/>
      </w:rPr>
    </w:lvl>
    <w:lvl w:ilvl="8" w:tplc="040C0005" w:tentative="1">
      <w:start w:val="1"/>
      <w:numFmt w:val="bullet"/>
      <w:lvlText w:val=""/>
      <w:lvlJc w:val="left"/>
      <w:pPr>
        <w:ind w:left="6390" w:hanging="360"/>
      </w:pPr>
      <w:rPr>
        <w:rFonts w:ascii="Wingdings" w:hAnsi="Wingdings" w:hint="default"/>
      </w:rPr>
    </w:lvl>
  </w:abstractNum>
  <w:abstractNum w:abstractNumId="12" w15:restartNumberingAfterBreak="0">
    <w:nsid w:val="245470C5"/>
    <w:multiLevelType w:val="hybridMultilevel"/>
    <w:tmpl w:val="ACDC0520"/>
    <w:lvl w:ilvl="0" w:tplc="D6B467C0">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248A6D54"/>
    <w:multiLevelType w:val="hybridMultilevel"/>
    <w:tmpl w:val="FDD4380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5700045"/>
    <w:multiLevelType w:val="hybridMultilevel"/>
    <w:tmpl w:val="0136BB88"/>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273C71EF"/>
    <w:multiLevelType w:val="hybridMultilevel"/>
    <w:tmpl w:val="5C0CC8E4"/>
    <w:lvl w:ilvl="0" w:tplc="040C0005">
      <w:start w:val="1"/>
      <w:numFmt w:val="bullet"/>
      <w:lvlText w:val=""/>
      <w:lvlJc w:val="left"/>
      <w:pPr>
        <w:ind w:left="786" w:hanging="360"/>
      </w:pPr>
      <w:rPr>
        <w:rFonts w:ascii="Wingdings" w:hAnsi="Wingdings" w:hint="default"/>
      </w:rPr>
    </w:lvl>
    <w:lvl w:ilvl="1" w:tplc="E3527352">
      <w:numFmt w:val="bullet"/>
      <w:lvlText w:val="-"/>
      <w:lvlJc w:val="left"/>
      <w:pPr>
        <w:ind w:left="1506" w:hanging="360"/>
      </w:pPr>
      <w:rPr>
        <w:rFonts w:ascii="Calibri" w:eastAsiaTheme="minorHAnsi" w:hAnsi="Calibri" w:cs="Calibri" w:hint="default"/>
      </w:rPr>
    </w:lvl>
    <w:lvl w:ilvl="2" w:tplc="040C0005">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6" w15:restartNumberingAfterBreak="0">
    <w:nsid w:val="2876734E"/>
    <w:multiLevelType w:val="hybridMultilevel"/>
    <w:tmpl w:val="719AA7CA"/>
    <w:lvl w:ilvl="0" w:tplc="06623C64">
      <w:start w:val="1"/>
      <w:numFmt w:val="bullet"/>
      <w:lvlText w:val="-"/>
      <w:lvlJc w:val="left"/>
      <w:pPr>
        <w:ind w:left="873" w:hanging="360"/>
      </w:pPr>
      <w:rPr>
        <w:rFonts w:ascii="Calibri" w:hAnsi="Calibri" w:hint="default"/>
      </w:rPr>
    </w:lvl>
    <w:lvl w:ilvl="1" w:tplc="040C0003" w:tentative="1">
      <w:start w:val="1"/>
      <w:numFmt w:val="bullet"/>
      <w:lvlText w:val="o"/>
      <w:lvlJc w:val="left"/>
      <w:pPr>
        <w:ind w:left="1593" w:hanging="360"/>
      </w:pPr>
      <w:rPr>
        <w:rFonts w:ascii="Courier New" w:hAnsi="Courier New" w:cs="Courier New" w:hint="default"/>
      </w:rPr>
    </w:lvl>
    <w:lvl w:ilvl="2" w:tplc="040C0005" w:tentative="1">
      <w:start w:val="1"/>
      <w:numFmt w:val="bullet"/>
      <w:lvlText w:val=""/>
      <w:lvlJc w:val="left"/>
      <w:pPr>
        <w:ind w:left="2313" w:hanging="360"/>
      </w:pPr>
      <w:rPr>
        <w:rFonts w:ascii="Wingdings" w:hAnsi="Wingdings" w:hint="default"/>
      </w:rPr>
    </w:lvl>
    <w:lvl w:ilvl="3" w:tplc="040C0001" w:tentative="1">
      <w:start w:val="1"/>
      <w:numFmt w:val="bullet"/>
      <w:lvlText w:val=""/>
      <w:lvlJc w:val="left"/>
      <w:pPr>
        <w:ind w:left="3033" w:hanging="360"/>
      </w:pPr>
      <w:rPr>
        <w:rFonts w:ascii="Symbol" w:hAnsi="Symbol" w:hint="default"/>
      </w:rPr>
    </w:lvl>
    <w:lvl w:ilvl="4" w:tplc="040C0003" w:tentative="1">
      <w:start w:val="1"/>
      <w:numFmt w:val="bullet"/>
      <w:lvlText w:val="o"/>
      <w:lvlJc w:val="left"/>
      <w:pPr>
        <w:ind w:left="3753" w:hanging="360"/>
      </w:pPr>
      <w:rPr>
        <w:rFonts w:ascii="Courier New" w:hAnsi="Courier New" w:cs="Courier New" w:hint="default"/>
      </w:rPr>
    </w:lvl>
    <w:lvl w:ilvl="5" w:tplc="040C0005" w:tentative="1">
      <w:start w:val="1"/>
      <w:numFmt w:val="bullet"/>
      <w:lvlText w:val=""/>
      <w:lvlJc w:val="left"/>
      <w:pPr>
        <w:ind w:left="4473" w:hanging="360"/>
      </w:pPr>
      <w:rPr>
        <w:rFonts w:ascii="Wingdings" w:hAnsi="Wingdings" w:hint="default"/>
      </w:rPr>
    </w:lvl>
    <w:lvl w:ilvl="6" w:tplc="040C0001" w:tentative="1">
      <w:start w:val="1"/>
      <w:numFmt w:val="bullet"/>
      <w:lvlText w:val=""/>
      <w:lvlJc w:val="left"/>
      <w:pPr>
        <w:ind w:left="5193" w:hanging="360"/>
      </w:pPr>
      <w:rPr>
        <w:rFonts w:ascii="Symbol" w:hAnsi="Symbol" w:hint="default"/>
      </w:rPr>
    </w:lvl>
    <w:lvl w:ilvl="7" w:tplc="040C0003" w:tentative="1">
      <w:start w:val="1"/>
      <w:numFmt w:val="bullet"/>
      <w:lvlText w:val="o"/>
      <w:lvlJc w:val="left"/>
      <w:pPr>
        <w:ind w:left="5913" w:hanging="360"/>
      </w:pPr>
      <w:rPr>
        <w:rFonts w:ascii="Courier New" w:hAnsi="Courier New" w:cs="Courier New" w:hint="default"/>
      </w:rPr>
    </w:lvl>
    <w:lvl w:ilvl="8" w:tplc="040C0005" w:tentative="1">
      <w:start w:val="1"/>
      <w:numFmt w:val="bullet"/>
      <w:lvlText w:val=""/>
      <w:lvlJc w:val="left"/>
      <w:pPr>
        <w:ind w:left="6633" w:hanging="360"/>
      </w:pPr>
      <w:rPr>
        <w:rFonts w:ascii="Wingdings" w:hAnsi="Wingdings" w:hint="default"/>
      </w:rPr>
    </w:lvl>
  </w:abstractNum>
  <w:abstractNum w:abstractNumId="17" w15:restartNumberingAfterBreak="0">
    <w:nsid w:val="287F3CD4"/>
    <w:multiLevelType w:val="hybridMultilevel"/>
    <w:tmpl w:val="BA4C69D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02774AA"/>
    <w:multiLevelType w:val="hybridMultilevel"/>
    <w:tmpl w:val="CB562C4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B405315"/>
    <w:multiLevelType w:val="hybridMultilevel"/>
    <w:tmpl w:val="25B29D8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CDC79F7"/>
    <w:multiLevelType w:val="hybridMultilevel"/>
    <w:tmpl w:val="96E6A0A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CFE15C1"/>
    <w:multiLevelType w:val="hybridMultilevel"/>
    <w:tmpl w:val="7A905892"/>
    <w:lvl w:ilvl="0" w:tplc="E5B26D28">
      <w:start w:val="2018"/>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3DDF508F"/>
    <w:multiLevelType w:val="hybridMultilevel"/>
    <w:tmpl w:val="A142F324"/>
    <w:lvl w:ilvl="0" w:tplc="7AF21DFE">
      <w:start w:val="1"/>
      <w:numFmt w:val="bullet"/>
      <w:lvlText w:val="-"/>
      <w:lvlJc w:val="left"/>
      <w:pPr>
        <w:ind w:left="786" w:hanging="360"/>
      </w:pPr>
      <w:rPr>
        <w:rFonts w:ascii="Calibri" w:hAnsi="Calibri" w:hint="default"/>
      </w:rPr>
    </w:lvl>
    <w:lvl w:ilvl="1" w:tplc="E3527352">
      <w:numFmt w:val="bullet"/>
      <w:lvlText w:val="-"/>
      <w:lvlJc w:val="left"/>
      <w:pPr>
        <w:ind w:left="1506" w:hanging="360"/>
      </w:pPr>
      <w:rPr>
        <w:rFonts w:ascii="Calibri" w:eastAsiaTheme="minorHAnsi" w:hAnsi="Calibri" w:cs="Calibri" w:hint="default"/>
      </w:rPr>
    </w:lvl>
    <w:lvl w:ilvl="2" w:tplc="040C0005">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3" w15:restartNumberingAfterBreak="0">
    <w:nsid w:val="426321BF"/>
    <w:multiLevelType w:val="hybridMultilevel"/>
    <w:tmpl w:val="C560800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42C00D60"/>
    <w:multiLevelType w:val="hybridMultilevel"/>
    <w:tmpl w:val="8DAA3A3E"/>
    <w:lvl w:ilvl="0" w:tplc="040C0005">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5" w15:restartNumberingAfterBreak="0">
    <w:nsid w:val="45BC73A7"/>
    <w:multiLevelType w:val="hybridMultilevel"/>
    <w:tmpl w:val="3924A278"/>
    <w:lvl w:ilvl="0" w:tplc="040C0005">
      <w:start w:val="1"/>
      <w:numFmt w:val="bullet"/>
      <w:lvlText w:val=""/>
      <w:lvlJc w:val="left"/>
      <w:pPr>
        <w:ind w:left="720" w:hanging="360"/>
      </w:pPr>
      <w:rPr>
        <w:rFonts w:ascii="Wingdings" w:hAnsi="Wingdings"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6450357"/>
    <w:multiLevelType w:val="hybridMultilevel"/>
    <w:tmpl w:val="BF7CA62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15574CA"/>
    <w:multiLevelType w:val="hybridMultilevel"/>
    <w:tmpl w:val="9184EFA6"/>
    <w:lvl w:ilvl="0" w:tplc="16DC7DD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3646D13"/>
    <w:multiLevelType w:val="hybridMultilevel"/>
    <w:tmpl w:val="94E6B87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83B0FA4"/>
    <w:multiLevelType w:val="hybridMultilevel"/>
    <w:tmpl w:val="5DAABA2A"/>
    <w:lvl w:ilvl="0" w:tplc="22C8DFCC">
      <w:start w:val="1"/>
      <w:numFmt w:val="bullet"/>
      <w:lvlText w:val=""/>
      <w:lvlJc w:val="left"/>
      <w:pPr>
        <w:ind w:left="153" w:hanging="360"/>
      </w:pPr>
      <w:rPr>
        <w:rFonts w:ascii="Wingdings" w:hAnsi="Wingdings" w:hint="default"/>
        <w:color w:val="BA3B47"/>
        <w:sz w:val="24"/>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30" w15:restartNumberingAfterBreak="0">
    <w:nsid w:val="5B52212D"/>
    <w:multiLevelType w:val="hybridMultilevel"/>
    <w:tmpl w:val="DED2C474"/>
    <w:lvl w:ilvl="0" w:tplc="9878ACC6">
      <w:start w:val="1"/>
      <w:numFmt w:val="bullet"/>
      <w:lvlText w:val=""/>
      <w:lvlJc w:val="left"/>
      <w:pPr>
        <w:ind w:left="1233" w:hanging="360"/>
      </w:pPr>
      <w:rPr>
        <w:rFonts w:ascii="Wingdings" w:hAnsi="Wingdings" w:hint="default"/>
        <w:sz w:val="24"/>
      </w:rPr>
    </w:lvl>
    <w:lvl w:ilvl="1" w:tplc="040C0003" w:tentative="1">
      <w:start w:val="1"/>
      <w:numFmt w:val="bullet"/>
      <w:lvlText w:val="o"/>
      <w:lvlJc w:val="left"/>
      <w:pPr>
        <w:ind w:left="1953" w:hanging="360"/>
      </w:pPr>
      <w:rPr>
        <w:rFonts w:ascii="Courier New" w:hAnsi="Courier New" w:cs="Courier New" w:hint="default"/>
      </w:rPr>
    </w:lvl>
    <w:lvl w:ilvl="2" w:tplc="040C0005" w:tentative="1">
      <w:start w:val="1"/>
      <w:numFmt w:val="bullet"/>
      <w:lvlText w:val=""/>
      <w:lvlJc w:val="left"/>
      <w:pPr>
        <w:ind w:left="2673" w:hanging="360"/>
      </w:pPr>
      <w:rPr>
        <w:rFonts w:ascii="Wingdings" w:hAnsi="Wingdings" w:hint="default"/>
      </w:rPr>
    </w:lvl>
    <w:lvl w:ilvl="3" w:tplc="040C0001" w:tentative="1">
      <w:start w:val="1"/>
      <w:numFmt w:val="bullet"/>
      <w:lvlText w:val=""/>
      <w:lvlJc w:val="left"/>
      <w:pPr>
        <w:ind w:left="3393" w:hanging="360"/>
      </w:pPr>
      <w:rPr>
        <w:rFonts w:ascii="Symbol" w:hAnsi="Symbol" w:hint="default"/>
      </w:rPr>
    </w:lvl>
    <w:lvl w:ilvl="4" w:tplc="040C0003" w:tentative="1">
      <w:start w:val="1"/>
      <w:numFmt w:val="bullet"/>
      <w:lvlText w:val="o"/>
      <w:lvlJc w:val="left"/>
      <w:pPr>
        <w:ind w:left="4113" w:hanging="360"/>
      </w:pPr>
      <w:rPr>
        <w:rFonts w:ascii="Courier New" w:hAnsi="Courier New" w:cs="Courier New" w:hint="default"/>
      </w:rPr>
    </w:lvl>
    <w:lvl w:ilvl="5" w:tplc="040C0005" w:tentative="1">
      <w:start w:val="1"/>
      <w:numFmt w:val="bullet"/>
      <w:lvlText w:val=""/>
      <w:lvlJc w:val="left"/>
      <w:pPr>
        <w:ind w:left="4833" w:hanging="360"/>
      </w:pPr>
      <w:rPr>
        <w:rFonts w:ascii="Wingdings" w:hAnsi="Wingdings" w:hint="default"/>
      </w:rPr>
    </w:lvl>
    <w:lvl w:ilvl="6" w:tplc="040C0001" w:tentative="1">
      <w:start w:val="1"/>
      <w:numFmt w:val="bullet"/>
      <w:lvlText w:val=""/>
      <w:lvlJc w:val="left"/>
      <w:pPr>
        <w:ind w:left="5553" w:hanging="360"/>
      </w:pPr>
      <w:rPr>
        <w:rFonts w:ascii="Symbol" w:hAnsi="Symbol" w:hint="default"/>
      </w:rPr>
    </w:lvl>
    <w:lvl w:ilvl="7" w:tplc="040C0003" w:tentative="1">
      <w:start w:val="1"/>
      <w:numFmt w:val="bullet"/>
      <w:lvlText w:val="o"/>
      <w:lvlJc w:val="left"/>
      <w:pPr>
        <w:ind w:left="6273" w:hanging="360"/>
      </w:pPr>
      <w:rPr>
        <w:rFonts w:ascii="Courier New" w:hAnsi="Courier New" w:cs="Courier New" w:hint="default"/>
      </w:rPr>
    </w:lvl>
    <w:lvl w:ilvl="8" w:tplc="040C0005" w:tentative="1">
      <w:start w:val="1"/>
      <w:numFmt w:val="bullet"/>
      <w:lvlText w:val=""/>
      <w:lvlJc w:val="left"/>
      <w:pPr>
        <w:ind w:left="6993" w:hanging="360"/>
      </w:pPr>
      <w:rPr>
        <w:rFonts w:ascii="Wingdings" w:hAnsi="Wingdings" w:hint="default"/>
      </w:rPr>
    </w:lvl>
  </w:abstractNum>
  <w:abstractNum w:abstractNumId="31" w15:restartNumberingAfterBreak="0">
    <w:nsid w:val="5ED84710"/>
    <w:multiLevelType w:val="hybridMultilevel"/>
    <w:tmpl w:val="FA9A868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FBE41F8"/>
    <w:multiLevelType w:val="hybridMultilevel"/>
    <w:tmpl w:val="F2BA58F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32E187E"/>
    <w:multiLevelType w:val="hybridMultilevel"/>
    <w:tmpl w:val="973EB15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E354302"/>
    <w:multiLevelType w:val="hybridMultilevel"/>
    <w:tmpl w:val="679660C2"/>
    <w:lvl w:ilvl="0" w:tplc="040C0005">
      <w:start w:val="1"/>
      <w:numFmt w:val="bullet"/>
      <w:lvlText w:val=""/>
      <w:lvlJc w:val="left"/>
      <w:pPr>
        <w:ind w:left="153" w:hanging="360"/>
      </w:pPr>
      <w:rPr>
        <w:rFonts w:ascii="Wingdings" w:hAnsi="Wingdings" w:hint="default"/>
        <w:color w:val="BA3B47"/>
        <w:sz w:val="24"/>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35" w15:restartNumberingAfterBreak="0">
    <w:nsid w:val="6E4A4D13"/>
    <w:multiLevelType w:val="hybridMultilevel"/>
    <w:tmpl w:val="39B68CDA"/>
    <w:lvl w:ilvl="0" w:tplc="040C000B">
      <w:start w:val="1"/>
      <w:numFmt w:val="bullet"/>
      <w:lvlText w:val=""/>
      <w:lvlJc w:val="left"/>
      <w:pPr>
        <w:ind w:left="426" w:hanging="360"/>
      </w:pPr>
      <w:rPr>
        <w:rFonts w:ascii="Wingdings" w:hAnsi="Wingdings" w:hint="default"/>
      </w:rPr>
    </w:lvl>
    <w:lvl w:ilvl="1" w:tplc="FFFFFFFF" w:tentative="1">
      <w:start w:val="1"/>
      <w:numFmt w:val="bullet"/>
      <w:lvlText w:val="o"/>
      <w:lvlJc w:val="left"/>
      <w:pPr>
        <w:ind w:left="1146" w:hanging="360"/>
      </w:pPr>
      <w:rPr>
        <w:rFonts w:ascii="Courier New" w:hAnsi="Courier New" w:cs="Courier New" w:hint="default"/>
      </w:rPr>
    </w:lvl>
    <w:lvl w:ilvl="2" w:tplc="FFFFFFFF" w:tentative="1">
      <w:start w:val="1"/>
      <w:numFmt w:val="bullet"/>
      <w:lvlText w:val=""/>
      <w:lvlJc w:val="left"/>
      <w:pPr>
        <w:ind w:left="1866" w:hanging="360"/>
      </w:pPr>
      <w:rPr>
        <w:rFonts w:ascii="Wingdings" w:hAnsi="Wingdings" w:hint="default"/>
      </w:rPr>
    </w:lvl>
    <w:lvl w:ilvl="3" w:tplc="FFFFFFFF" w:tentative="1">
      <w:start w:val="1"/>
      <w:numFmt w:val="bullet"/>
      <w:lvlText w:val=""/>
      <w:lvlJc w:val="left"/>
      <w:pPr>
        <w:ind w:left="2586" w:hanging="360"/>
      </w:pPr>
      <w:rPr>
        <w:rFonts w:ascii="Symbol" w:hAnsi="Symbol" w:hint="default"/>
      </w:rPr>
    </w:lvl>
    <w:lvl w:ilvl="4" w:tplc="FFFFFFFF" w:tentative="1">
      <w:start w:val="1"/>
      <w:numFmt w:val="bullet"/>
      <w:lvlText w:val="o"/>
      <w:lvlJc w:val="left"/>
      <w:pPr>
        <w:ind w:left="3306" w:hanging="360"/>
      </w:pPr>
      <w:rPr>
        <w:rFonts w:ascii="Courier New" w:hAnsi="Courier New" w:cs="Courier New" w:hint="default"/>
      </w:rPr>
    </w:lvl>
    <w:lvl w:ilvl="5" w:tplc="FFFFFFFF" w:tentative="1">
      <w:start w:val="1"/>
      <w:numFmt w:val="bullet"/>
      <w:lvlText w:val=""/>
      <w:lvlJc w:val="left"/>
      <w:pPr>
        <w:ind w:left="4026" w:hanging="360"/>
      </w:pPr>
      <w:rPr>
        <w:rFonts w:ascii="Wingdings" w:hAnsi="Wingdings" w:hint="default"/>
      </w:rPr>
    </w:lvl>
    <w:lvl w:ilvl="6" w:tplc="FFFFFFFF" w:tentative="1">
      <w:start w:val="1"/>
      <w:numFmt w:val="bullet"/>
      <w:lvlText w:val=""/>
      <w:lvlJc w:val="left"/>
      <w:pPr>
        <w:ind w:left="4746" w:hanging="360"/>
      </w:pPr>
      <w:rPr>
        <w:rFonts w:ascii="Symbol" w:hAnsi="Symbol" w:hint="default"/>
      </w:rPr>
    </w:lvl>
    <w:lvl w:ilvl="7" w:tplc="FFFFFFFF" w:tentative="1">
      <w:start w:val="1"/>
      <w:numFmt w:val="bullet"/>
      <w:lvlText w:val="o"/>
      <w:lvlJc w:val="left"/>
      <w:pPr>
        <w:ind w:left="5466" w:hanging="360"/>
      </w:pPr>
      <w:rPr>
        <w:rFonts w:ascii="Courier New" w:hAnsi="Courier New" w:cs="Courier New" w:hint="default"/>
      </w:rPr>
    </w:lvl>
    <w:lvl w:ilvl="8" w:tplc="FFFFFFFF" w:tentative="1">
      <w:start w:val="1"/>
      <w:numFmt w:val="bullet"/>
      <w:lvlText w:val=""/>
      <w:lvlJc w:val="left"/>
      <w:pPr>
        <w:ind w:left="6186" w:hanging="360"/>
      </w:pPr>
      <w:rPr>
        <w:rFonts w:ascii="Wingdings" w:hAnsi="Wingdings" w:hint="default"/>
      </w:rPr>
    </w:lvl>
  </w:abstractNum>
  <w:abstractNum w:abstractNumId="36" w15:restartNumberingAfterBreak="0">
    <w:nsid w:val="6EC5562A"/>
    <w:multiLevelType w:val="hybridMultilevel"/>
    <w:tmpl w:val="AD2845F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0984F63"/>
    <w:multiLevelType w:val="hybridMultilevel"/>
    <w:tmpl w:val="B0E490B8"/>
    <w:lvl w:ilvl="0" w:tplc="040C0005">
      <w:start w:val="1"/>
      <w:numFmt w:val="bullet"/>
      <w:lvlText w:val=""/>
      <w:lvlJc w:val="left"/>
      <w:pPr>
        <w:ind w:left="0" w:hanging="360"/>
      </w:pPr>
      <w:rPr>
        <w:rFonts w:ascii="Wingdings" w:hAnsi="Wingdings"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38" w15:restartNumberingAfterBreak="0">
    <w:nsid w:val="73B35A01"/>
    <w:multiLevelType w:val="hybridMultilevel"/>
    <w:tmpl w:val="1CE4B822"/>
    <w:lvl w:ilvl="0" w:tplc="7AF21DFE">
      <w:start w:val="1"/>
      <w:numFmt w:val="bullet"/>
      <w:lvlText w:val="-"/>
      <w:lvlJc w:val="left"/>
      <w:pPr>
        <w:ind w:left="360" w:hanging="360"/>
      </w:pPr>
      <w:rPr>
        <w:rFonts w:ascii="Calibri" w:hAnsi="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9" w15:restartNumberingAfterBreak="0">
    <w:nsid w:val="77F25FE0"/>
    <w:multiLevelType w:val="hybridMultilevel"/>
    <w:tmpl w:val="A198B1D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8AD4DEE"/>
    <w:multiLevelType w:val="hybridMultilevel"/>
    <w:tmpl w:val="B8E268B4"/>
    <w:lvl w:ilvl="0" w:tplc="9878ACC6">
      <w:start w:val="1"/>
      <w:numFmt w:val="bullet"/>
      <w:lvlText w:val=""/>
      <w:lvlJc w:val="left"/>
      <w:pPr>
        <w:ind w:left="360" w:hanging="360"/>
      </w:pPr>
      <w:rPr>
        <w:rFonts w:ascii="Wingdings" w:hAnsi="Wingdings" w:hint="default"/>
        <w:sz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1" w15:restartNumberingAfterBreak="0">
    <w:nsid w:val="7F187FF7"/>
    <w:multiLevelType w:val="hybridMultilevel"/>
    <w:tmpl w:val="16E82E3C"/>
    <w:lvl w:ilvl="0" w:tplc="7AF21DFE">
      <w:start w:val="1"/>
      <w:numFmt w:val="bullet"/>
      <w:lvlText w:val="-"/>
      <w:lvlJc w:val="left"/>
      <w:pPr>
        <w:ind w:left="426" w:hanging="360"/>
      </w:pPr>
      <w:rPr>
        <w:rFonts w:ascii="Calibri" w:hAnsi="Calibri" w:hint="default"/>
      </w:rPr>
    </w:lvl>
    <w:lvl w:ilvl="1" w:tplc="040C0003" w:tentative="1">
      <w:start w:val="1"/>
      <w:numFmt w:val="bullet"/>
      <w:lvlText w:val="o"/>
      <w:lvlJc w:val="left"/>
      <w:pPr>
        <w:ind w:left="1146" w:hanging="360"/>
      </w:pPr>
      <w:rPr>
        <w:rFonts w:ascii="Courier New" w:hAnsi="Courier New" w:cs="Courier New" w:hint="default"/>
      </w:rPr>
    </w:lvl>
    <w:lvl w:ilvl="2" w:tplc="040C0005" w:tentative="1">
      <w:start w:val="1"/>
      <w:numFmt w:val="bullet"/>
      <w:lvlText w:val=""/>
      <w:lvlJc w:val="left"/>
      <w:pPr>
        <w:ind w:left="1866" w:hanging="360"/>
      </w:pPr>
      <w:rPr>
        <w:rFonts w:ascii="Wingdings" w:hAnsi="Wingdings" w:hint="default"/>
      </w:rPr>
    </w:lvl>
    <w:lvl w:ilvl="3" w:tplc="040C0001" w:tentative="1">
      <w:start w:val="1"/>
      <w:numFmt w:val="bullet"/>
      <w:lvlText w:val=""/>
      <w:lvlJc w:val="left"/>
      <w:pPr>
        <w:ind w:left="2586" w:hanging="360"/>
      </w:pPr>
      <w:rPr>
        <w:rFonts w:ascii="Symbol" w:hAnsi="Symbol" w:hint="default"/>
      </w:rPr>
    </w:lvl>
    <w:lvl w:ilvl="4" w:tplc="040C0003" w:tentative="1">
      <w:start w:val="1"/>
      <w:numFmt w:val="bullet"/>
      <w:lvlText w:val="o"/>
      <w:lvlJc w:val="left"/>
      <w:pPr>
        <w:ind w:left="3306" w:hanging="360"/>
      </w:pPr>
      <w:rPr>
        <w:rFonts w:ascii="Courier New" w:hAnsi="Courier New" w:cs="Courier New" w:hint="default"/>
      </w:rPr>
    </w:lvl>
    <w:lvl w:ilvl="5" w:tplc="040C0005" w:tentative="1">
      <w:start w:val="1"/>
      <w:numFmt w:val="bullet"/>
      <w:lvlText w:val=""/>
      <w:lvlJc w:val="left"/>
      <w:pPr>
        <w:ind w:left="4026" w:hanging="360"/>
      </w:pPr>
      <w:rPr>
        <w:rFonts w:ascii="Wingdings" w:hAnsi="Wingdings" w:hint="default"/>
      </w:rPr>
    </w:lvl>
    <w:lvl w:ilvl="6" w:tplc="040C0001" w:tentative="1">
      <w:start w:val="1"/>
      <w:numFmt w:val="bullet"/>
      <w:lvlText w:val=""/>
      <w:lvlJc w:val="left"/>
      <w:pPr>
        <w:ind w:left="4746" w:hanging="360"/>
      </w:pPr>
      <w:rPr>
        <w:rFonts w:ascii="Symbol" w:hAnsi="Symbol" w:hint="default"/>
      </w:rPr>
    </w:lvl>
    <w:lvl w:ilvl="7" w:tplc="040C0003" w:tentative="1">
      <w:start w:val="1"/>
      <w:numFmt w:val="bullet"/>
      <w:lvlText w:val="o"/>
      <w:lvlJc w:val="left"/>
      <w:pPr>
        <w:ind w:left="5466" w:hanging="360"/>
      </w:pPr>
      <w:rPr>
        <w:rFonts w:ascii="Courier New" w:hAnsi="Courier New" w:cs="Courier New" w:hint="default"/>
      </w:rPr>
    </w:lvl>
    <w:lvl w:ilvl="8" w:tplc="040C0005" w:tentative="1">
      <w:start w:val="1"/>
      <w:numFmt w:val="bullet"/>
      <w:lvlText w:val=""/>
      <w:lvlJc w:val="left"/>
      <w:pPr>
        <w:ind w:left="6186" w:hanging="360"/>
      </w:pPr>
      <w:rPr>
        <w:rFonts w:ascii="Wingdings" w:hAnsi="Wingdings" w:hint="default"/>
      </w:rPr>
    </w:lvl>
  </w:abstractNum>
  <w:num w:numId="1">
    <w:abstractNumId w:val="34"/>
  </w:num>
  <w:num w:numId="2">
    <w:abstractNumId w:val="29"/>
  </w:num>
  <w:num w:numId="3">
    <w:abstractNumId w:val="10"/>
  </w:num>
  <w:num w:numId="4">
    <w:abstractNumId w:val="2"/>
  </w:num>
  <w:num w:numId="5">
    <w:abstractNumId w:val="30"/>
  </w:num>
  <w:num w:numId="6">
    <w:abstractNumId w:val="6"/>
  </w:num>
  <w:num w:numId="7">
    <w:abstractNumId w:val="40"/>
  </w:num>
  <w:num w:numId="8">
    <w:abstractNumId w:val="16"/>
  </w:num>
  <w:num w:numId="9">
    <w:abstractNumId w:val="11"/>
  </w:num>
  <w:num w:numId="10">
    <w:abstractNumId w:val="37"/>
  </w:num>
  <w:num w:numId="11">
    <w:abstractNumId w:val="27"/>
  </w:num>
  <w:num w:numId="12">
    <w:abstractNumId w:val="5"/>
  </w:num>
  <w:num w:numId="13">
    <w:abstractNumId w:val="3"/>
  </w:num>
  <w:num w:numId="14">
    <w:abstractNumId w:val="14"/>
  </w:num>
  <w:num w:numId="15">
    <w:abstractNumId w:val="1"/>
  </w:num>
  <w:num w:numId="16">
    <w:abstractNumId w:val="0"/>
  </w:num>
  <w:num w:numId="17">
    <w:abstractNumId w:val="7"/>
  </w:num>
  <w:num w:numId="18">
    <w:abstractNumId w:val="31"/>
  </w:num>
  <w:num w:numId="19">
    <w:abstractNumId w:val="17"/>
  </w:num>
  <w:num w:numId="20">
    <w:abstractNumId w:val="33"/>
  </w:num>
  <w:num w:numId="21">
    <w:abstractNumId w:val="36"/>
  </w:num>
  <w:num w:numId="22">
    <w:abstractNumId w:val="25"/>
  </w:num>
  <w:num w:numId="23">
    <w:abstractNumId w:val="20"/>
  </w:num>
  <w:num w:numId="24">
    <w:abstractNumId w:val="21"/>
  </w:num>
  <w:num w:numId="25">
    <w:abstractNumId w:val="18"/>
  </w:num>
  <w:num w:numId="26">
    <w:abstractNumId w:val="39"/>
  </w:num>
  <w:num w:numId="27">
    <w:abstractNumId w:val="26"/>
  </w:num>
  <w:num w:numId="28">
    <w:abstractNumId w:val="15"/>
  </w:num>
  <w:num w:numId="29">
    <w:abstractNumId w:val="22"/>
  </w:num>
  <w:num w:numId="30">
    <w:abstractNumId w:val="41"/>
  </w:num>
  <w:num w:numId="31">
    <w:abstractNumId w:val="38"/>
  </w:num>
  <w:num w:numId="32">
    <w:abstractNumId w:val="23"/>
  </w:num>
  <w:num w:numId="33">
    <w:abstractNumId w:val="13"/>
  </w:num>
  <w:num w:numId="34">
    <w:abstractNumId w:val="32"/>
  </w:num>
  <w:num w:numId="35">
    <w:abstractNumId w:val="35"/>
  </w:num>
  <w:num w:numId="36">
    <w:abstractNumId w:val="24"/>
  </w:num>
  <w:num w:numId="37">
    <w:abstractNumId w:val="9"/>
  </w:num>
  <w:num w:numId="38">
    <w:abstractNumId w:val="28"/>
  </w:num>
  <w:num w:numId="39">
    <w:abstractNumId w:val="12"/>
  </w:num>
  <w:num w:numId="40">
    <w:abstractNumId w:val="19"/>
  </w:num>
  <w:num w:numId="41">
    <w:abstractNumId w:val="8"/>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43B"/>
    <w:rsid w:val="0000088A"/>
    <w:rsid w:val="0000510F"/>
    <w:rsid w:val="00006F13"/>
    <w:rsid w:val="00006F43"/>
    <w:rsid w:val="00050AAB"/>
    <w:rsid w:val="00064922"/>
    <w:rsid w:val="00074F95"/>
    <w:rsid w:val="00085A77"/>
    <w:rsid w:val="00087A2F"/>
    <w:rsid w:val="000A3D72"/>
    <w:rsid w:val="000C58F2"/>
    <w:rsid w:val="000D1CE4"/>
    <w:rsid w:val="000E271A"/>
    <w:rsid w:val="000F725E"/>
    <w:rsid w:val="00101F2F"/>
    <w:rsid w:val="00102FC7"/>
    <w:rsid w:val="0011753D"/>
    <w:rsid w:val="00117EA3"/>
    <w:rsid w:val="001225BF"/>
    <w:rsid w:val="00131673"/>
    <w:rsid w:val="001514E8"/>
    <w:rsid w:val="00152A4F"/>
    <w:rsid w:val="001703B0"/>
    <w:rsid w:val="00176DA7"/>
    <w:rsid w:val="001A1AB6"/>
    <w:rsid w:val="001C2601"/>
    <w:rsid w:val="001C26AE"/>
    <w:rsid w:val="001E7187"/>
    <w:rsid w:val="001F0C58"/>
    <w:rsid w:val="00240060"/>
    <w:rsid w:val="002802D9"/>
    <w:rsid w:val="002A284E"/>
    <w:rsid w:val="002A34FE"/>
    <w:rsid w:val="002A4489"/>
    <w:rsid w:val="002B21C6"/>
    <w:rsid w:val="002B6784"/>
    <w:rsid w:val="002E61E0"/>
    <w:rsid w:val="002F3FC8"/>
    <w:rsid w:val="00303331"/>
    <w:rsid w:val="00307B61"/>
    <w:rsid w:val="00326A18"/>
    <w:rsid w:val="003375E8"/>
    <w:rsid w:val="003501C4"/>
    <w:rsid w:val="003664CE"/>
    <w:rsid w:val="00392E08"/>
    <w:rsid w:val="003B55B7"/>
    <w:rsid w:val="003C2116"/>
    <w:rsid w:val="003C2CFA"/>
    <w:rsid w:val="003C7EF0"/>
    <w:rsid w:val="003D1288"/>
    <w:rsid w:val="003F01CF"/>
    <w:rsid w:val="00410A6B"/>
    <w:rsid w:val="00415329"/>
    <w:rsid w:val="004157E1"/>
    <w:rsid w:val="00427B6D"/>
    <w:rsid w:val="00445784"/>
    <w:rsid w:val="004609A6"/>
    <w:rsid w:val="00477659"/>
    <w:rsid w:val="004915C6"/>
    <w:rsid w:val="00492BC1"/>
    <w:rsid w:val="004A24E5"/>
    <w:rsid w:val="004A413D"/>
    <w:rsid w:val="004B023B"/>
    <w:rsid w:val="004B1F66"/>
    <w:rsid w:val="004E23AE"/>
    <w:rsid w:val="00507E6B"/>
    <w:rsid w:val="005104E1"/>
    <w:rsid w:val="00520150"/>
    <w:rsid w:val="00522702"/>
    <w:rsid w:val="005544E0"/>
    <w:rsid w:val="00577CFE"/>
    <w:rsid w:val="00580BF7"/>
    <w:rsid w:val="00593647"/>
    <w:rsid w:val="005A0D13"/>
    <w:rsid w:val="005B3B49"/>
    <w:rsid w:val="005C3043"/>
    <w:rsid w:val="00600C2E"/>
    <w:rsid w:val="00612CF6"/>
    <w:rsid w:val="00635AFF"/>
    <w:rsid w:val="00640539"/>
    <w:rsid w:val="00664DF3"/>
    <w:rsid w:val="00677E58"/>
    <w:rsid w:val="006B5F6B"/>
    <w:rsid w:val="006C38D0"/>
    <w:rsid w:val="006D725B"/>
    <w:rsid w:val="006E7C7F"/>
    <w:rsid w:val="006F18B8"/>
    <w:rsid w:val="007139DE"/>
    <w:rsid w:val="00715964"/>
    <w:rsid w:val="0077521D"/>
    <w:rsid w:val="007823E6"/>
    <w:rsid w:val="007B377E"/>
    <w:rsid w:val="007E33A8"/>
    <w:rsid w:val="007E49B7"/>
    <w:rsid w:val="007E7F58"/>
    <w:rsid w:val="007F2588"/>
    <w:rsid w:val="007F4C4A"/>
    <w:rsid w:val="00805D51"/>
    <w:rsid w:val="00824320"/>
    <w:rsid w:val="00846AA5"/>
    <w:rsid w:val="00866AC8"/>
    <w:rsid w:val="008759D7"/>
    <w:rsid w:val="00887F6D"/>
    <w:rsid w:val="008A09FE"/>
    <w:rsid w:val="008E0150"/>
    <w:rsid w:val="008F7D7C"/>
    <w:rsid w:val="0091598A"/>
    <w:rsid w:val="00921B8B"/>
    <w:rsid w:val="00931027"/>
    <w:rsid w:val="00931BB6"/>
    <w:rsid w:val="009778FE"/>
    <w:rsid w:val="0098643B"/>
    <w:rsid w:val="009953E1"/>
    <w:rsid w:val="009B0129"/>
    <w:rsid w:val="009B3247"/>
    <w:rsid w:val="009B58B0"/>
    <w:rsid w:val="00A12728"/>
    <w:rsid w:val="00A4696B"/>
    <w:rsid w:val="00A54BFF"/>
    <w:rsid w:val="00A850C5"/>
    <w:rsid w:val="00A9693A"/>
    <w:rsid w:val="00AA3D27"/>
    <w:rsid w:val="00AB5406"/>
    <w:rsid w:val="00AB5663"/>
    <w:rsid w:val="00AB7C9B"/>
    <w:rsid w:val="00AD70F8"/>
    <w:rsid w:val="00AD72A0"/>
    <w:rsid w:val="00B03F8F"/>
    <w:rsid w:val="00B24CFA"/>
    <w:rsid w:val="00B42222"/>
    <w:rsid w:val="00B44459"/>
    <w:rsid w:val="00B44650"/>
    <w:rsid w:val="00B526F1"/>
    <w:rsid w:val="00B54712"/>
    <w:rsid w:val="00BB17E6"/>
    <w:rsid w:val="00BB44A8"/>
    <w:rsid w:val="00BB67E4"/>
    <w:rsid w:val="00BE70F5"/>
    <w:rsid w:val="00BF769A"/>
    <w:rsid w:val="00C076A1"/>
    <w:rsid w:val="00C12C1B"/>
    <w:rsid w:val="00C40225"/>
    <w:rsid w:val="00C412A3"/>
    <w:rsid w:val="00C6286C"/>
    <w:rsid w:val="00C7766D"/>
    <w:rsid w:val="00C829C5"/>
    <w:rsid w:val="00C918AC"/>
    <w:rsid w:val="00CB340D"/>
    <w:rsid w:val="00CC718F"/>
    <w:rsid w:val="00CE3466"/>
    <w:rsid w:val="00D00FD9"/>
    <w:rsid w:val="00D22A81"/>
    <w:rsid w:val="00D271BA"/>
    <w:rsid w:val="00D57EA1"/>
    <w:rsid w:val="00D66E0C"/>
    <w:rsid w:val="00D86109"/>
    <w:rsid w:val="00D92BCB"/>
    <w:rsid w:val="00DA7E73"/>
    <w:rsid w:val="00DB70AC"/>
    <w:rsid w:val="00DC53DF"/>
    <w:rsid w:val="00DC572B"/>
    <w:rsid w:val="00DD73A9"/>
    <w:rsid w:val="00DE2EFB"/>
    <w:rsid w:val="00E53D08"/>
    <w:rsid w:val="00E54889"/>
    <w:rsid w:val="00E95FE3"/>
    <w:rsid w:val="00EA6E6E"/>
    <w:rsid w:val="00EC7A8E"/>
    <w:rsid w:val="00ED183F"/>
    <w:rsid w:val="00ED3D85"/>
    <w:rsid w:val="00ED429D"/>
    <w:rsid w:val="00ED7C83"/>
    <w:rsid w:val="00F055F7"/>
    <w:rsid w:val="00F53CA1"/>
    <w:rsid w:val="00F679D2"/>
    <w:rsid w:val="00F7547F"/>
    <w:rsid w:val="00FA721C"/>
    <w:rsid w:val="00FC14DD"/>
    <w:rsid w:val="00FD092A"/>
    <w:rsid w:val="00FD0C72"/>
    <w:rsid w:val="00FD3280"/>
    <w:rsid w:val="00FD614D"/>
    <w:rsid w:val="00FF565F"/>
    <w:rsid w:val="00FF58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B195F4"/>
  <w15:chartTrackingRefBased/>
  <w15:docId w15:val="{9869C3D1-9F05-4194-BC1E-E8350D94D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46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8643B"/>
    <w:pPr>
      <w:tabs>
        <w:tab w:val="center" w:pos="4536"/>
        <w:tab w:val="right" w:pos="9072"/>
      </w:tabs>
      <w:spacing w:after="0" w:line="240" w:lineRule="auto"/>
    </w:pPr>
  </w:style>
  <w:style w:type="character" w:customStyle="1" w:styleId="En-tteCar">
    <w:name w:val="En-tête Car"/>
    <w:basedOn w:val="Policepardfaut"/>
    <w:link w:val="En-tte"/>
    <w:uiPriority w:val="99"/>
    <w:rsid w:val="0098643B"/>
  </w:style>
  <w:style w:type="paragraph" w:styleId="Pieddepage">
    <w:name w:val="footer"/>
    <w:basedOn w:val="Normal"/>
    <w:link w:val="PieddepageCar"/>
    <w:uiPriority w:val="99"/>
    <w:unhideWhenUsed/>
    <w:rsid w:val="0098643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8643B"/>
  </w:style>
  <w:style w:type="table" w:styleId="Grilledutableau">
    <w:name w:val="Table Grid"/>
    <w:basedOn w:val="TableauNormal"/>
    <w:uiPriority w:val="39"/>
    <w:rsid w:val="004E2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953E1"/>
    <w:pPr>
      <w:ind w:left="720"/>
      <w:contextualSpacing/>
    </w:pPr>
  </w:style>
  <w:style w:type="paragraph" w:styleId="NormalWeb">
    <w:name w:val="Normal (Web)"/>
    <w:basedOn w:val="Normal"/>
    <w:uiPriority w:val="99"/>
    <w:semiHidden/>
    <w:unhideWhenUsed/>
    <w:rsid w:val="002B6784"/>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Textedebulles">
    <w:name w:val="Balloon Text"/>
    <w:basedOn w:val="Normal"/>
    <w:link w:val="TextedebullesCar"/>
    <w:uiPriority w:val="99"/>
    <w:semiHidden/>
    <w:unhideWhenUsed/>
    <w:rsid w:val="0011753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1753D"/>
    <w:rPr>
      <w:rFonts w:ascii="Segoe UI" w:hAnsi="Segoe UI" w:cs="Segoe UI"/>
      <w:sz w:val="18"/>
      <w:szCs w:val="18"/>
    </w:rPr>
  </w:style>
  <w:style w:type="paragraph" w:styleId="Sansinterligne">
    <w:name w:val="No Spacing"/>
    <w:uiPriority w:val="1"/>
    <w:qFormat/>
    <w:rsid w:val="00805D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35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ASFIDIA">
      <a:dk1>
        <a:sysClr val="windowText" lastClr="000000"/>
      </a:dk1>
      <a:lt1>
        <a:sysClr val="window" lastClr="FFFFFF"/>
      </a:lt1>
      <a:dk2>
        <a:srgbClr val="44546A"/>
      </a:dk2>
      <a:lt2>
        <a:srgbClr val="E7E6E6"/>
      </a:lt2>
      <a:accent1>
        <a:srgbClr val="BA3B47"/>
      </a:accent1>
      <a:accent2>
        <a:srgbClr val="374C5B"/>
      </a:accent2>
      <a:accent3>
        <a:srgbClr val="6C8EA5"/>
      </a:accent3>
      <a:accent4>
        <a:srgbClr val="CFCFCF"/>
      </a:accent4>
      <a:accent5>
        <a:srgbClr val="74192A"/>
      </a:accent5>
      <a:accent6>
        <a:srgbClr val="A5A5A5"/>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1286</Words>
  <Characters>7079</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Daniele</dc:creator>
  <cp:keywords/>
  <dc:description/>
  <cp:lastModifiedBy>Phil Sindel</cp:lastModifiedBy>
  <cp:revision>3</cp:revision>
  <cp:lastPrinted>2023-01-02T13:42:00Z</cp:lastPrinted>
  <dcterms:created xsi:type="dcterms:W3CDTF">2023-01-05T09:37:00Z</dcterms:created>
  <dcterms:modified xsi:type="dcterms:W3CDTF">2023-01-05T11:56:00Z</dcterms:modified>
</cp:coreProperties>
</file>