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8E38E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201E8C10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4EF0149C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6B53737E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7B82AC45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5F17CAE0" w14:textId="719F97ED" w:rsidR="004157E1" w:rsidRDefault="00E53D08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  <w:r>
        <w:rPr>
          <w:b/>
          <w:color w:val="C00000"/>
          <w:sz w:val="8"/>
          <w:szCs w:val="8"/>
          <w:u w:val="single"/>
        </w:rPr>
        <w:t xml:space="preserve">  </w:t>
      </w:r>
    </w:p>
    <w:p w14:paraId="2ECEDE4D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5132EB2A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29749721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78D6A3E7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5D5AC9BB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7EF9EBAA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54D2C5B4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34F7686D" w14:textId="77777777" w:rsidR="004157E1" w:rsidRDefault="004157E1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126DF5DE" w14:textId="77777777" w:rsidR="000E271A" w:rsidRDefault="000E271A" w:rsidP="007B377E">
      <w:pPr>
        <w:pStyle w:val="Paragraphedeliste"/>
        <w:spacing w:after="0"/>
        <w:ind w:left="0"/>
        <w:rPr>
          <w:b/>
          <w:color w:val="C00000"/>
          <w:sz w:val="8"/>
          <w:szCs w:val="8"/>
          <w:u w:val="single"/>
        </w:rPr>
      </w:pPr>
    </w:p>
    <w:p w14:paraId="4368F409" w14:textId="77777777" w:rsidR="0091598A" w:rsidRPr="0091598A" w:rsidRDefault="0091598A" w:rsidP="0091598A">
      <w:pPr>
        <w:jc w:val="both"/>
        <w:rPr>
          <w:rFonts w:ascii="Calibri" w:eastAsia="Calibri" w:hAnsi="Calibri" w:cs="Times New Roman"/>
          <w:sz w:val="8"/>
          <w:szCs w:val="8"/>
        </w:rPr>
      </w:pPr>
    </w:p>
    <w:p w14:paraId="7735C496" w14:textId="74867C39" w:rsidR="007E49B7" w:rsidRDefault="00E53D08" w:rsidP="00A9693A">
      <w:pPr>
        <w:pStyle w:val="Paragraphedeliste"/>
        <w:numPr>
          <w:ilvl w:val="0"/>
          <w:numId w:val="33"/>
        </w:numPr>
        <w:ind w:left="426" w:hanging="284"/>
        <w:jc w:val="both"/>
      </w:pPr>
      <w:r>
        <w:t>L</w:t>
      </w:r>
      <w:r w:rsidR="008E0150">
        <w:t>a</w:t>
      </w:r>
      <w:r>
        <w:t xml:space="preserve"> diffusion fulgurante du variant</w:t>
      </w:r>
      <w:r w:rsidR="007E49B7">
        <w:t xml:space="preserve"> </w:t>
      </w:r>
      <w:r w:rsidR="008E0150">
        <w:t xml:space="preserve">Omicron n’a pas empêché les </w:t>
      </w:r>
      <w:r w:rsidR="008E0150" w:rsidRPr="00DC572B">
        <w:rPr>
          <w:b/>
          <w:bCs/>
          <w:color w:val="C00000"/>
        </w:rPr>
        <w:t>marchés financiers de fini</w:t>
      </w:r>
      <w:r w:rsidR="00074F95" w:rsidRPr="00DC572B">
        <w:rPr>
          <w:b/>
          <w:bCs/>
          <w:color w:val="C00000"/>
        </w:rPr>
        <w:t>r</w:t>
      </w:r>
      <w:r w:rsidR="008E0150" w:rsidRPr="00DC572B">
        <w:rPr>
          <w:b/>
          <w:bCs/>
          <w:color w:val="C00000"/>
        </w:rPr>
        <w:t xml:space="preserve"> pratiquement au plus </w:t>
      </w:r>
      <w:r w:rsidR="00ED183F">
        <w:rPr>
          <w:b/>
          <w:bCs/>
          <w:color w:val="C00000"/>
        </w:rPr>
        <w:t xml:space="preserve">haut </w:t>
      </w:r>
      <w:r w:rsidR="008E0150" w:rsidRPr="00DC572B">
        <w:rPr>
          <w:b/>
          <w:bCs/>
          <w:color w:val="C00000"/>
        </w:rPr>
        <w:t>de l’année</w:t>
      </w:r>
      <w:r w:rsidR="008E0150">
        <w:t xml:space="preserve"> : dans les pays développés </w:t>
      </w:r>
      <w:r w:rsidR="007E49B7">
        <w:t>la plupart des grands indices</w:t>
      </w:r>
      <w:r w:rsidR="00074F95">
        <w:t xml:space="preserve"> </w:t>
      </w:r>
      <w:r w:rsidR="002B21C6">
        <w:t xml:space="preserve">(à l’exception du Japon) </w:t>
      </w:r>
      <w:r w:rsidR="00074F95">
        <w:t xml:space="preserve">ont </w:t>
      </w:r>
      <w:r w:rsidR="002B21C6">
        <w:t xml:space="preserve">ainsi </w:t>
      </w:r>
      <w:r w:rsidR="00074F95">
        <w:t>progressé de 15 à 20 % en 2021</w:t>
      </w:r>
      <w:r w:rsidR="007E49B7">
        <w:t>.</w:t>
      </w:r>
    </w:p>
    <w:p w14:paraId="1D3F5B9E" w14:textId="77777777" w:rsidR="007E49B7" w:rsidRDefault="007E49B7" w:rsidP="00A9693A">
      <w:pPr>
        <w:pStyle w:val="Paragraphedeliste"/>
        <w:ind w:left="426" w:hanging="284"/>
        <w:jc w:val="both"/>
      </w:pPr>
    </w:p>
    <w:p w14:paraId="02D4508C" w14:textId="32C37274" w:rsidR="007E49B7" w:rsidRDefault="007E49B7" w:rsidP="00A9693A">
      <w:pPr>
        <w:pStyle w:val="Paragraphedeliste"/>
        <w:numPr>
          <w:ilvl w:val="0"/>
          <w:numId w:val="33"/>
        </w:numPr>
        <w:ind w:left="426" w:hanging="284"/>
        <w:jc w:val="both"/>
      </w:pPr>
      <w:r w:rsidRPr="00DC572B">
        <w:rPr>
          <w:b/>
          <w:bCs/>
          <w:color w:val="C00000"/>
        </w:rPr>
        <w:t xml:space="preserve">Le CAC 40 a </w:t>
      </w:r>
      <w:r w:rsidR="002B21C6" w:rsidRPr="00DC572B">
        <w:rPr>
          <w:b/>
          <w:bCs/>
          <w:color w:val="C00000"/>
        </w:rPr>
        <w:t xml:space="preserve">enfin </w:t>
      </w:r>
      <w:r w:rsidRPr="00DC572B">
        <w:rPr>
          <w:b/>
          <w:bCs/>
          <w:color w:val="C00000"/>
        </w:rPr>
        <w:t>dépassé 7.000 points</w:t>
      </w:r>
      <w:r w:rsidRPr="00DC572B">
        <w:rPr>
          <w:color w:val="C00000"/>
        </w:rPr>
        <w:t xml:space="preserve"> </w:t>
      </w:r>
      <w:r>
        <w:t>et</w:t>
      </w:r>
      <w:r w:rsidR="00074F95">
        <w:t>, une fois n’est pas coutume</w:t>
      </w:r>
      <w:r w:rsidR="002B21C6">
        <w:t>,</w:t>
      </w:r>
      <w:r w:rsidR="00074F95">
        <w:t xml:space="preserve"> a gagné davantage que les autres indices avec une </w:t>
      </w:r>
      <w:r w:rsidR="00DE2EFB">
        <w:t>hausse</w:t>
      </w:r>
      <w:r w:rsidR="00074F95">
        <w:t xml:space="preserve"> de plus de 28 %. Il a été </w:t>
      </w:r>
      <w:r>
        <w:t>aidé par la remarquable performance des valeurs de luxe (+</w:t>
      </w:r>
      <w:r w:rsidR="00074F95">
        <w:t>75</w:t>
      </w:r>
      <w:r>
        <w:t xml:space="preserve"> % pour Hermès, +</w:t>
      </w:r>
      <w:r w:rsidR="00074F95">
        <w:t>42</w:t>
      </w:r>
      <w:r>
        <w:t xml:space="preserve"> % pour LVMH) mais aussi</w:t>
      </w:r>
      <w:r w:rsidR="002B21C6">
        <w:t xml:space="preserve"> par</w:t>
      </w:r>
      <w:r>
        <w:t xml:space="preserve"> le rattrapage des sociétés massacrées en 2020, telles les valeurs bancaires (+7</w:t>
      </w:r>
      <w:r w:rsidR="00074F95">
        <w:t>7</w:t>
      </w:r>
      <w:r>
        <w:t xml:space="preserve"> % pour la Société Générale), les matériaux (+</w:t>
      </w:r>
      <w:r w:rsidR="00074F95">
        <w:t>65</w:t>
      </w:r>
      <w:r>
        <w:t xml:space="preserve"> % pour Saint </w:t>
      </w:r>
      <w:proofErr w:type="spellStart"/>
      <w:r>
        <w:t>Gobain</w:t>
      </w:r>
      <w:proofErr w:type="spellEnd"/>
      <w:r>
        <w:t>) ou encore la publicité (+</w:t>
      </w:r>
      <w:r w:rsidR="00074F95">
        <w:t>51</w:t>
      </w:r>
      <w:r>
        <w:t xml:space="preserve"> % pour Publicis).</w:t>
      </w:r>
    </w:p>
    <w:p w14:paraId="61A47D71" w14:textId="7E6D3914" w:rsidR="00AB5663" w:rsidRDefault="00AB5663" w:rsidP="00A9693A">
      <w:pPr>
        <w:pStyle w:val="Paragraphedeliste"/>
        <w:ind w:left="426" w:hanging="284"/>
        <w:jc w:val="both"/>
      </w:pPr>
    </w:p>
    <w:p w14:paraId="3F33BD16" w14:textId="0C9AA494" w:rsidR="00AB5663" w:rsidRDefault="00AB5663" w:rsidP="00A9693A">
      <w:pPr>
        <w:pStyle w:val="Paragraphedeliste"/>
        <w:numPr>
          <w:ilvl w:val="0"/>
          <w:numId w:val="33"/>
        </w:numPr>
        <w:ind w:left="426" w:hanging="284"/>
        <w:jc w:val="both"/>
      </w:pPr>
      <w:r>
        <w:t>Les rares baisses viennent logiquement d’Air France, pénalisé par les restrictions aux voyages aériens, du secteur automobile, entravé par la pénurie de semi-conducteurs et la conversion à l’électrique et les centres commerciaux pour lesquels le retour à la normale en termes de fréquentation n’a pas encore eu lieu.</w:t>
      </w:r>
    </w:p>
    <w:p w14:paraId="23A875FE" w14:textId="10C35BE8" w:rsidR="00AB5663" w:rsidRDefault="00AB5663" w:rsidP="00410A6B">
      <w:pPr>
        <w:pStyle w:val="Paragraphedeliste"/>
        <w:ind w:left="0"/>
        <w:jc w:val="both"/>
      </w:pPr>
    </w:p>
    <w:p w14:paraId="31A98376" w14:textId="6EA91874" w:rsidR="00AB5663" w:rsidRDefault="00AB5663" w:rsidP="00AB5663">
      <w:pPr>
        <w:pStyle w:val="Paragraphedeliste"/>
        <w:ind w:left="0"/>
        <w:jc w:val="center"/>
        <w:rPr>
          <w:b/>
          <w:bCs/>
        </w:rPr>
      </w:pPr>
      <w:r w:rsidRPr="00AB5663">
        <w:rPr>
          <w:b/>
          <w:bCs/>
        </w:rPr>
        <w:t>Performances des principaux marchés – Pays développés et émergents</w:t>
      </w:r>
    </w:p>
    <w:p w14:paraId="681C16E5" w14:textId="18A739AB" w:rsidR="00A850C5" w:rsidRDefault="00A850C5" w:rsidP="00AB5663">
      <w:pPr>
        <w:pStyle w:val="Paragraphedeliste"/>
        <w:ind w:left="0"/>
        <w:jc w:val="center"/>
        <w:rPr>
          <w:b/>
          <w:bCs/>
        </w:rPr>
      </w:pPr>
    </w:p>
    <w:p w14:paraId="625C0CDE" w14:textId="57E0BEE0" w:rsidR="00A850C5" w:rsidRPr="00AB5663" w:rsidRDefault="00A850C5" w:rsidP="00AB5663">
      <w:pPr>
        <w:pStyle w:val="Paragraphedeliste"/>
        <w:ind w:left="0"/>
        <w:jc w:val="center"/>
        <w:rPr>
          <w:b/>
          <w:bCs/>
        </w:rPr>
      </w:pPr>
      <w:r w:rsidRPr="00A850C5">
        <w:rPr>
          <w:noProof/>
          <w:lang w:eastAsia="fr-FR"/>
        </w:rPr>
        <w:drawing>
          <wp:inline distT="0" distB="0" distL="0" distR="0" wp14:anchorId="4D8B172A" wp14:editId="5C98401F">
            <wp:extent cx="5052060" cy="12877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22D9A" w14:textId="4A8C3EFE" w:rsidR="002B21C6" w:rsidRDefault="002B21C6" w:rsidP="00410A6B">
      <w:pPr>
        <w:pStyle w:val="Paragraphedeliste"/>
        <w:ind w:left="0"/>
        <w:jc w:val="both"/>
      </w:pPr>
    </w:p>
    <w:p w14:paraId="0E5D4BCD" w14:textId="4029D9C5" w:rsidR="00B44650" w:rsidRPr="004A24E5" w:rsidRDefault="00B44650" w:rsidP="004A24E5">
      <w:pPr>
        <w:pStyle w:val="Paragraphedeliste"/>
        <w:numPr>
          <w:ilvl w:val="0"/>
          <w:numId w:val="37"/>
        </w:numPr>
        <w:jc w:val="both"/>
        <w:rPr>
          <w:b/>
          <w:u w:val="single"/>
        </w:rPr>
      </w:pPr>
      <w:r w:rsidRPr="00DC572B">
        <w:rPr>
          <w:b/>
          <w:bCs/>
          <w:color w:val="C00000"/>
        </w:rPr>
        <w:t>Seuls les pays émergents ont déçu</w:t>
      </w:r>
      <w:r>
        <w:t xml:space="preserve">, en raison principalement du ralentissement de la croissance chinoise alors que les autorités ont procédé à un tour de vis réglementaire dans le cadre du nouvel objectif de « prospérité commune ». Le secteur immobilier </w:t>
      </w:r>
      <w:r w:rsidR="00A850C5">
        <w:t>a été</w:t>
      </w:r>
      <w:r>
        <w:t xml:space="preserve"> particulièrement impacté (cf. affaire </w:t>
      </w:r>
      <w:proofErr w:type="spellStart"/>
      <w:r>
        <w:t>Evergrande</w:t>
      </w:r>
      <w:proofErr w:type="spellEnd"/>
      <w:r>
        <w:t>) et le gouvernement chinois veut désormais privilégier la qualité de la croissance, essentiellement soutenue par la consommation</w:t>
      </w:r>
      <w:r w:rsidR="004A24E5">
        <w:t xml:space="preserve"> </w:t>
      </w:r>
      <w:r>
        <w:t>intérieure, plutôt que sa quantité qui reposait sur les exportations.</w:t>
      </w:r>
    </w:p>
    <w:p w14:paraId="7D8FBD47" w14:textId="77777777" w:rsidR="00B44650" w:rsidRDefault="00B44650" w:rsidP="00410A6B">
      <w:pPr>
        <w:pStyle w:val="Paragraphedeliste"/>
        <w:ind w:left="0"/>
        <w:jc w:val="both"/>
      </w:pPr>
    </w:p>
    <w:p w14:paraId="51A145E6" w14:textId="2A15DF9C" w:rsidR="007E49B7" w:rsidRDefault="005104E1" w:rsidP="00410A6B">
      <w:pPr>
        <w:pStyle w:val="Paragraphedeliste"/>
        <w:ind w:left="0"/>
        <w:jc w:val="both"/>
      </w:pPr>
      <w:r>
        <w:t xml:space="preserve">Cette hausse </w:t>
      </w:r>
      <w:r w:rsidR="00B44650">
        <w:t xml:space="preserve">des marchés développés </w:t>
      </w:r>
      <w:r>
        <w:t xml:space="preserve">s’explique aisément par la </w:t>
      </w:r>
      <w:r w:rsidRPr="00DC572B">
        <w:rPr>
          <w:b/>
          <w:bCs/>
          <w:color w:val="C00000"/>
        </w:rPr>
        <w:t>conjonction de facteurs macro-économiques favorables</w:t>
      </w:r>
      <w:r w:rsidRPr="00DC572B">
        <w:rPr>
          <w:color w:val="C00000"/>
        </w:rPr>
        <w:t xml:space="preserve"> </w:t>
      </w:r>
      <w:r>
        <w:t>(forte croissance, à plus de 6,5 % pour la France, taux d’intérêt très bas et liquidités surabondantes) et des résultats d’entreprise en nette hausse.</w:t>
      </w:r>
    </w:p>
    <w:p w14:paraId="50A4AD15" w14:textId="5890D9F7" w:rsidR="002B21C6" w:rsidRDefault="002B21C6" w:rsidP="00410A6B">
      <w:pPr>
        <w:pStyle w:val="Paragraphedeliste"/>
        <w:ind w:left="0"/>
        <w:jc w:val="both"/>
      </w:pPr>
    </w:p>
    <w:p w14:paraId="041D6B14" w14:textId="73A0873A" w:rsidR="00C918AC" w:rsidRDefault="002B21C6" w:rsidP="00410A6B">
      <w:pPr>
        <w:pStyle w:val="Paragraphedeliste"/>
        <w:ind w:left="0"/>
        <w:jc w:val="both"/>
      </w:pPr>
      <w:r>
        <w:t xml:space="preserve">Ce rebond économique spectaculaire a provoqué </w:t>
      </w:r>
      <w:r w:rsidR="00AB5663">
        <w:t xml:space="preserve">une </w:t>
      </w:r>
      <w:r w:rsidR="00AB5663" w:rsidRPr="00DC572B">
        <w:rPr>
          <w:b/>
          <w:bCs/>
          <w:color w:val="C00000"/>
        </w:rPr>
        <w:t>envolée des matières premières</w:t>
      </w:r>
      <w:r w:rsidR="00AB5663">
        <w:t>, tant énergétiques (+53 % pour le pétrole</w:t>
      </w:r>
      <w:r w:rsidR="00B44650">
        <w:t>, +47 % pour le Gaz, pourtant en net retrait par rapport au plus haut de l’année), qu’industrielles ou agricoles (+22 % pour le blé, +82 % pour le café),</w:t>
      </w:r>
      <w:r w:rsidR="00C918AC">
        <w:t xml:space="preserve"> avec une seule exception, l’O</w:t>
      </w:r>
      <w:r w:rsidR="004A24E5">
        <w:t>r</w:t>
      </w:r>
      <w:r w:rsidR="00C918AC">
        <w:t xml:space="preserve"> en repli de 4</w:t>
      </w:r>
      <w:r w:rsidR="004A24E5">
        <w:t>,</w:t>
      </w:r>
      <w:r w:rsidR="00C918AC">
        <w:t>7</w:t>
      </w:r>
      <w:r w:rsidR="004A24E5">
        <w:t xml:space="preserve"> </w:t>
      </w:r>
      <w:r w:rsidR="00C918AC">
        <w:t>%.</w:t>
      </w:r>
    </w:p>
    <w:p w14:paraId="4806C2AE" w14:textId="20943276" w:rsidR="002B21C6" w:rsidRDefault="00C918AC" w:rsidP="00410A6B">
      <w:pPr>
        <w:pStyle w:val="Paragraphedeliste"/>
        <w:ind w:left="0"/>
        <w:jc w:val="both"/>
      </w:pPr>
      <w:r>
        <w:t>Ceci</w:t>
      </w:r>
      <w:r w:rsidR="00B44650">
        <w:t xml:space="preserve"> a contribué à la </w:t>
      </w:r>
      <w:r w:rsidR="00B44650" w:rsidRPr="00DC572B">
        <w:rPr>
          <w:b/>
          <w:bCs/>
          <w:color w:val="C00000"/>
        </w:rPr>
        <w:t>forte hausse de l’inflation</w:t>
      </w:r>
      <w:r w:rsidR="00B44650" w:rsidRPr="00DC572B">
        <w:rPr>
          <w:color w:val="C00000"/>
        </w:rPr>
        <w:t xml:space="preserve"> </w:t>
      </w:r>
      <w:r w:rsidR="00B44650">
        <w:t>(+4.</w:t>
      </w:r>
      <w:r w:rsidR="00131673">
        <w:t>9</w:t>
      </w:r>
      <w:r w:rsidR="00B44650">
        <w:t xml:space="preserve"> % en Europe </w:t>
      </w:r>
      <w:r w:rsidR="00131673">
        <w:t xml:space="preserve">en 2021, </w:t>
      </w:r>
      <w:r w:rsidR="00B44650">
        <w:t>+6.</w:t>
      </w:r>
      <w:r w:rsidR="00131673">
        <w:t>8</w:t>
      </w:r>
      <w:r w:rsidR="00B44650">
        <w:t xml:space="preserve"> % aux USA) mais pas à la hausse des taux d’intérêt, encore négatifs par exemple en </w:t>
      </w:r>
      <w:r w:rsidR="00A9693A">
        <w:t>Allemagne et à peine à 1.5 % à 10 ans aux USA.</w:t>
      </w:r>
    </w:p>
    <w:p w14:paraId="0B8FBB83" w14:textId="24194198" w:rsidR="00B44650" w:rsidRDefault="00B44650" w:rsidP="00410A6B">
      <w:pPr>
        <w:pStyle w:val="Paragraphedeliste"/>
        <w:ind w:left="0"/>
        <w:jc w:val="both"/>
      </w:pPr>
    </w:p>
    <w:p w14:paraId="77F6361D" w14:textId="3B86E4D5" w:rsidR="00B44650" w:rsidRDefault="00B44650" w:rsidP="00410A6B">
      <w:pPr>
        <w:pStyle w:val="Paragraphedeliste"/>
        <w:ind w:left="0"/>
        <w:jc w:val="both"/>
      </w:pPr>
      <w:bookmarkStart w:id="0" w:name="_GoBack"/>
      <w:bookmarkEnd w:id="0"/>
    </w:p>
    <w:p w14:paraId="4105813E" w14:textId="0B3BF467" w:rsidR="00B44650" w:rsidRDefault="00B44650" w:rsidP="00410A6B">
      <w:pPr>
        <w:pStyle w:val="Paragraphedeliste"/>
        <w:ind w:left="0"/>
        <w:jc w:val="both"/>
      </w:pPr>
    </w:p>
    <w:p w14:paraId="161BD4D5" w14:textId="44C0B8CF" w:rsidR="00B44650" w:rsidRDefault="00B44650" w:rsidP="00410A6B">
      <w:pPr>
        <w:pStyle w:val="Paragraphedeliste"/>
        <w:ind w:left="0"/>
        <w:jc w:val="both"/>
      </w:pPr>
    </w:p>
    <w:p w14:paraId="307EB757" w14:textId="084C4BCB" w:rsidR="00B44650" w:rsidRDefault="00B44650" w:rsidP="00410A6B">
      <w:pPr>
        <w:pStyle w:val="Paragraphedeliste"/>
        <w:ind w:left="0"/>
        <w:jc w:val="both"/>
      </w:pPr>
    </w:p>
    <w:p w14:paraId="72044D49" w14:textId="77777777" w:rsidR="00B44650" w:rsidRDefault="00B44650" w:rsidP="00410A6B">
      <w:pPr>
        <w:pStyle w:val="Paragraphedeliste"/>
        <w:ind w:left="0"/>
        <w:jc w:val="both"/>
      </w:pPr>
    </w:p>
    <w:p w14:paraId="3A27AD05" w14:textId="77777777" w:rsidR="005104E1" w:rsidRDefault="005104E1" w:rsidP="00410A6B">
      <w:pPr>
        <w:pStyle w:val="Paragraphedeliste"/>
        <w:ind w:left="0"/>
        <w:jc w:val="both"/>
      </w:pPr>
    </w:p>
    <w:p w14:paraId="2FBCFF62" w14:textId="77777777" w:rsidR="007E49B7" w:rsidRDefault="007E49B7" w:rsidP="00445784">
      <w:pPr>
        <w:pStyle w:val="Paragraphedeliste"/>
        <w:ind w:left="0"/>
        <w:rPr>
          <w:b/>
          <w:color w:val="C00000"/>
          <w:u w:val="single"/>
        </w:rPr>
      </w:pPr>
    </w:p>
    <w:p w14:paraId="658D28DA" w14:textId="4E1B435D" w:rsidR="00445784" w:rsidRDefault="009B58B0" w:rsidP="00445784">
      <w:pPr>
        <w:pStyle w:val="Paragraphedeliste"/>
        <w:ind w:left="0"/>
      </w:pPr>
      <w:r>
        <w:rPr>
          <w:b/>
          <w:color w:val="C00000"/>
          <w:u w:val="single"/>
        </w:rPr>
        <w:t>Les perspectives 2022 sont plus incertaines :</w:t>
      </w:r>
    </w:p>
    <w:p w14:paraId="736517D2" w14:textId="77777777" w:rsidR="00445784" w:rsidRPr="00445784" w:rsidRDefault="00445784" w:rsidP="00445784">
      <w:pPr>
        <w:pStyle w:val="Paragraphedeliste"/>
        <w:ind w:left="0"/>
      </w:pPr>
    </w:p>
    <w:p w14:paraId="084FD152" w14:textId="77777777" w:rsidR="003F01CF" w:rsidRDefault="003F01CF" w:rsidP="00445784">
      <w:pPr>
        <w:pStyle w:val="Paragraphedeliste"/>
        <w:numPr>
          <w:ilvl w:val="0"/>
          <w:numId w:val="27"/>
        </w:numPr>
        <w:ind w:left="426"/>
        <w:sectPr w:rsidR="003F01CF" w:rsidSect="00445784">
          <w:headerReference w:type="default" r:id="rId8"/>
          <w:footerReference w:type="default" r:id="rId9"/>
          <w:type w:val="continuous"/>
          <w:pgSz w:w="11906" w:h="16838"/>
          <w:pgMar w:top="1418" w:right="851" w:bottom="1418" w:left="992" w:header="0" w:footer="709" w:gutter="0"/>
          <w:cols w:space="708"/>
          <w:docGrid w:linePitch="360"/>
        </w:sectPr>
      </w:pPr>
    </w:p>
    <w:p w14:paraId="06F41D42" w14:textId="70608ED0" w:rsidR="009B58B0" w:rsidRDefault="009B58B0" w:rsidP="009B58B0">
      <w:pPr>
        <w:ind w:left="66"/>
        <w:jc w:val="both"/>
      </w:pPr>
      <w:r>
        <w:t>En effet, outre la Chine, les marchés seront confrontés </w:t>
      </w:r>
      <w:r w:rsidR="009778FE">
        <w:t xml:space="preserve">à </w:t>
      </w:r>
      <w:r>
        <w:t>:</w:t>
      </w:r>
    </w:p>
    <w:p w14:paraId="3BC4EF7D" w14:textId="5793E446" w:rsidR="009B58B0" w:rsidRDefault="009B58B0" w:rsidP="001C2601">
      <w:pPr>
        <w:pStyle w:val="Paragraphedeliste"/>
        <w:numPr>
          <w:ilvl w:val="0"/>
          <w:numId w:val="35"/>
        </w:numPr>
        <w:jc w:val="both"/>
      </w:pPr>
      <w:proofErr w:type="gramStart"/>
      <w:r w:rsidRPr="00DC572B">
        <w:rPr>
          <w:b/>
          <w:bCs/>
        </w:rPr>
        <w:t>une</w:t>
      </w:r>
      <w:proofErr w:type="gramEnd"/>
      <w:r w:rsidRPr="00DC572B">
        <w:rPr>
          <w:b/>
          <w:bCs/>
        </w:rPr>
        <w:t xml:space="preserve"> situation sanitaire non encore maîtrisée</w:t>
      </w:r>
      <w:r w:rsidR="00B44650" w:rsidRPr="00DC572B">
        <w:rPr>
          <w:b/>
          <w:bCs/>
        </w:rPr>
        <w:t xml:space="preserve">, </w:t>
      </w:r>
      <w:r w:rsidR="00B44650">
        <w:t>qui pourrait conduire à de nouvelles mesures restrictives.</w:t>
      </w:r>
    </w:p>
    <w:p w14:paraId="2F35F8ED" w14:textId="77777777" w:rsidR="009B58B0" w:rsidRDefault="009B58B0" w:rsidP="009B58B0">
      <w:pPr>
        <w:pStyle w:val="Paragraphedeliste"/>
        <w:ind w:left="426"/>
        <w:jc w:val="both"/>
      </w:pPr>
    </w:p>
    <w:p w14:paraId="2CE0F8CA" w14:textId="53F5541E" w:rsidR="009B58B0" w:rsidRDefault="009B58B0" w:rsidP="001C2601">
      <w:pPr>
        <w:pStyle w:val="Paragraphedeliste"/>
        <w:numPr>
          <w:ilvl w:val="0"/>
          <w:numId w:val="35"/>
        </w:numPr>
        <w:jc w:val="both"/>
      </w:pPr>
      <w:proofErr w:type="gramStart"/>
      <w:r w:rsidRPr="00DC572B">
        <w:rPr>
          <w:b/>
          <w:bCs/>
        </w:rPr>
        <w:t>un</w:t>
      </w:r>
      <w:proofErr w:type="gramEnd"/>
      <w:r w:rsidRPr="00DC572B">
        <w:rPr>
          <w:b/>
          <w:bCs/>
        </w:rPr>
        <w:t xml:space="preserve"> ralentissement logique de la croissance</w:t>
      </w:r>
      <w:r>
        <w:t xml:space="preserve"> </w:t>
      </w:r>
      <w:r w:rsidR="009778FE">
        <w:t xml:space="preserve"> </w:t>
      </w:r>
      <w:r>
        <w:t>mondiale, de 6 % en 2021 à 4,5 % en 2022, avec des risques de révision en baisse (en fonction d’éventuels blocages liés au virus)</w:t>
      </w:r>
      <w:r w:rsidR="00B44650">
        <w:t>. Plus globalement, la croissance mondiale sur la prochaine décennie devrait s’établir à 3.2 % par an contre 3.5 % sur les dix dernières années.</w:t>
      </w:r>
    </w:p>
    <w:p w14:paraId="449B73EA" w14:textId="77777777" w:rsidR="009B58B0" w:rsidRDefault="009B58B0" w:rsidP="009B58B0">
      <w:pPr>
        <w:pStyle w:val="Paragraphedeliste"/>
        <w:ind w:left="426"/>
        <w:jc w:val="both"/>
      </w:pPr>
    </w:p>
    <w:p w14:paraId="79D07933" w14:textId="48C24463" w:rsidR="009B58B0" w:rsidRDefault="009B58B0" w:rsidP="001C2601">
      <w:pPr>
        <w:pStyle w:val="Paragraphedeliste"/>
        <w:numPr>
          <w:ilvl w:val="0"/>
          <w:numId w:val="35"/>
        </w:numPr>
        <w:jc w:val="both"/>
      </w:pPr>
      <w:proofErr w:type="gramStart"/>
      <w:r w:rsidRPr="00DC572B">
        <w:rPr>
          <w:b/>
          <w:bCs/>
        </w:rPr>
        <w:t>une</w:t>
      </w:r>
      <w:proofErr w:type="gramEnd"/>
      <w:r w:rsidRPr="00DC572B">
        <w:rPr>
          <w:b/>
          <w:bCs/>
        </w:rPr>
        <w:t xml:space="preserve"> inflation élevée</w:t>
      </w:r>
      <w:r>
        <w:t xml:space="preserve"> au moins encore quelques mois avant une éventuelle normalisation au </w:t>
      </w:r>
      <w:r w:rsidR="009778FE">
        <w:t xml:space="preserve">   </w:t>
      </w:r>
      <w:r>
        <w:t xml:space="preserve">second semestre, auxquelles les Banques </w:t>
      </w:r>
      <w:r w:rsidR="009778FE">
        <w:t xml:space="preserve">     </w:t>
      </w:r>
      <w:r>
        <w:t xml:space="preserve">Centrales réagissent par un arrêt de l’injection de liquidités et </w:t>
      </w:r>
      <w:r w:rsidR="009778FE">
        <w:t>trois</w:t>
      </w:r>
      <w:r>
        <w:t xml:space="preserve"> hausse</w:t>
      </w:r>
      <w:r w:rsidR="009778FE">
        <w:t>s</w:t>
      </w:r>
      <w:r>
        <w:t xml:space="preserve"> </w:t>
      </w:r>
      <w:r w:rsidR="009778FE">
        <w:t>des taux prévues dès 2022 pour la</w:t>
      </w:r>
      <w:r>
        <w:t xml:space="preserve"> FED.</w:t>
      </w:r>
    </w:p>
    <w:p w14:paraId="7C928B50" w14:textId="58F83CDE" w:rsidR="0091598A" w:rsidRDefault="009B58B0" w:rsidP="009B58B0">
      <w:pPr>
        <w:jc w:val="both"/>
      </w:pPr>
      <w:r>
        <w:t>Le scénario central est donc le suivant :</w:t>
      </w:r>
    </w:p>
    <w:p w14:paraId="4643FE58" w14:textId="25D9828C" w:rsidR="009B58B0" w:rsidRDefault="009B58B0" w:rsidP="007E33A8">
      <w:pPr>
        <w:pStyle w:val="Paragraphedeliste"/>
        <w:numPr>
          <w:ilvl w:val="0"/>
          <w:numId w:val="32"/>
        </w:numPr>
        <w:jc w:val="both"/>
      </w:pPr>
      <w:r>
        <w:t>Une croissance mondiale inférieure à 2021 mais encore au-dessus du potentiel et que l’épidémie ne devrait pas faire dérailler,</w:t>
      </w:r>
    </w:p>
    <w:p w14:paraId="54A5F6A0" w14:textId="77777777" w:rsidR="00410A6B" w:rsidRPr="007E33A8" w:rsidRDefault="00410A6B" w:rsidP="00410A6B">
      <w:pPr>
        <w:pStyle w:val="Paragraphedeliste"/>
        <w:ind w:left="360"/>
        <w:jc w:val="both"/>
        <w:rPr>
          <w:sz w:val="16"/>
          <w:szCs w:val="16"/>
        </w:rPr>
      </w:pPr>
    </w:p>
    <w:p w14:paraId="794D5B07" w14:textId="473DB870" w:rsidR="009B58B0" w:rsidRDefault="009B58B0" w:rsidP="007E33A8">
      <w:pPr>
        <w:pStyle w:val="Paragraphedeliste"/>
        <w:numPr>
          <w:ilvl w:val="0"/>
          <w:numId w:val="32"/>
        </w:numPr>
        <w:jc w:val="both"/>
      </w:pPr>
      <w:r>
        <w:t xml:space="preserve">Une poursuite du resserrement progressif des politiques monétaires pour contrôler l’inflation sans pénaliser la croissance, </w:t>
      </w:r>
    </w:p>
    <w:p w14:paraId="7DF33243" w14:textId="77777777" w:rsidR="00410A6B" w:rsidRPr="007E33A8" w:rsidRDefault="00410A6B" w:rsidP="00410A6B">
      <w:pPr>
        <w:pStyle w:val="Paragraphedeliste"/>
        <w:ind w:left="360"/>
        <w:jc w:val="both"/>
        <w:rPr>
          <w:sz w:val="16"/>
          <w:szCs w:val="16"/>
        </w:rPr>
      </w:pPr>
    </w:p>
    <w:p w14:paraId="2471F0E1" w14:textId="44DCBF34" w:rsidR="009B58B0" w:rsidRDefault="009B58B0" w:rsidP="007E33A8">
      <w:pPr>
        <w:pStyle w:val="Paragraphedeliste"/>
        <w:numPr>
          <w:ilvl w:val="0"/>
          <w:numId w:val="32"/>
        </w:numPr>
        <w:jc w:val="both"/>
      </w:pPr>
      <w:r>
        <w:t>Une hausse des bénéfices des entr</w:t>
      </w:r>
      <w:r w:rsidR="00824320">
        <w:t>eprises cotées de 7 à 10 %.</w:t>
      </w:r>
    </w:p>
    <w:p w14:paraId="5DBC6C4C" w14:textId="77777777" w:rsidR="007E33A8" w:rsidRDefault="00824320" w:rsidP="007E33A8">
      <w:pPr>
        <w:spacing w:after="0"/>
        <w:jc w:val="both"/>
      </w:pPr>
      <w:r>
        <w:t xml:space="preserve">Il devrait conduire à une progression supplémentaire des actions, entre 5 et 10 % en moyenne selon les analystes (objectif du CAC à 7.500 points fin 2022 pour la Société Générale par exemple), avec de la </w:t>
      </w:r>
      <w:r w:rsidR="007E33A8">
        <w:t xml:space="preserve">   </w:t>
      </w:r>
      <w:r>
        <w:t xml:space="preserve">volatilité et de fortes disparités sectorielles. </w:t>
      </w:r>
    </w:p>
    <w:p w14:paraId="1DC09441" w14:textId="081862EA" w:rsidR="00A850C5" w:rsidRDefault="00A850C5" w:rsidP="007E33A8">
      <w:pPr>
        <w:spacing w:after="0"/>
        <w:jc w:val="both"/>
      </w:pPr>
      <w:r>
        <w:t xml:space="preserve">Tant que les taux d’intérêt réels sont négatifs (c’est à dire que les taux d’intérêt nominaux sont inférieurs </w:t>
      </w:r>
      <w:r>
        <w:t>à l’inflation), les flux d’</w:t>
      </w:r>
      <w:r w:rsidR="00DE2EFB">
        <w:t>investissement</w:t>
      </w:r>
      <w:r>
        <w:t xml:space="preserve"> vont continuer à se porter sur les actifs tangibles (dont l’immobilier) ainsi que sur les actions</w:t>
      </w:r>
      <w:r w:rsidR="004609A6">
        <w:t xml:space="preserve">, notamment celles qui bénéficient de la hausse des taux telles les valeurs financières et </w:t>
      </w:r>
      <w:r w:rsidR="00580BF7">
        <w:t>les sociétés décotées (« value »)</w:t>
      </w:r>
      <w:r>
        <w:t>.</w:t>
      </w:r>
    </w:p>
    <w:p w14:paraId="3FFEFC4A" w14:textId="77777777" w:rsidR="00A850C5" w:rsidRPr="00A850C5" w:rsidRDefault="00A850C5" w:rsidP="007E33A8">
      <w:pPr>
        <w:spacing w:after="0"/>
        <w:jc w:val="both"/>
        <w:rPr>
          <w:sz w:val="16"/>
          <w:szCs w:val="16"/>
        </w:rPr>
      </w:pPr>
    </w:p>
    <w:p w14:paraId="6646CABE" w14:textId="00044CB2" w:rsidR="00824320" w:rsidRDefault="00824320" w:rsidP="007E33A8">
      <w:pPr>
        <w:spacing w:after="0"/>
        <w:jc w:val="both"/>
      </w:pPr>
      <w:r>
        <w:t>En</w:t>
      </w:r>
      <w:r w:rsidR="007E33A8">
        <w:t xml:space="preserve"> </w:t>
      </w:r>
      <w:r>
        <w:t>revanche, les fonds obligataires seront pénalisés</w:t>
      </w:r>
      <w:r w:rsidR="00410A6B">
        <w:t xml:space="preserve"> par la hausse des taux.</w:t>
      </w:r>
    </w:p>
    <w:p w14:paraId="3E3F6142" w14:textId="2082F679" w:rsidR="00B44650" w:rsidRPr="00A850C5" w:rsidRDefault="00B44650" w:rsidP="007E33A8">
      <w:pPr>
        <w:spacing w:after="0"/>
        <w:jc w:val="both"/>
        <w:rPr>
          <w:sz w:val="16"/>
          <w:szCs w:val="16"/>
        </w:rPr>
      </w:pPr>
    </w:p>
    <w:p w14:paraId="0C43AE2B" w14:textId="1979345B" w:rsidR="001C2601" w:rsidRDefault="00B44650" w:rsidP="007E33A8">
      <w:pPr>
        <w:spacing w:after="0"/>
        <w:jc w:val="both"/>
      </w:pPr>
      <w:r>
        <w:t xml:space="preserve">Dans ce contexte vraisemblablement plus inflationniste, les entreprises </w:t>
      </w:r>
      <w:r w:rsidR="001C2601">
        <w:t>qui parviendront à maintenir leurs marges en dépit de la hausse des coûts de production (salaires, matières, transport) sont celles :</w:t>
      </w:r>
    </w:p>
    <w:p w14:paraId="33B7D8C5" w14:textId="77777777" w:rsidR="001C2601" w:rsidRPr="00A850C5" w:rsidRDefault="001C2601" w:rsidP="007E33A8">
      <w:pPr>
        <w:spacing w:after="0"/>
        <w:jc w:val="both"/>
        <w:rPr>
          <w:sz w:val="16"/>
          <w:szCs w:val="16"/>
        </w:rPr>
      </w:pPr>
    </w:p>
    <w:p w14:paraId="5B363D19" w14:textId="1398B79F" w:rsidR="00B44650" w:rsidRDefault="001C2601" w:rsidP="001C2601">
      <w:pPr>
        <w:pStyle w:val="Paragraphedeliste"/>
        <w:numPr>
          <w:ilvl w:val="0"/>
          <w:numId w:val="34"/>
        </w:numPr>
        <w:spacing w:after="0"/>
        <w:ind w:left="426" w:hanging="284"/>
        <w:jc w:val="both"/>
      </w:pPr>
      <w:proofErr w:type="gramStart"/>
      <w:r>
        <w:t>qui</w:t>
      </w:r>
      <w:proofErr w:type="gramEnd"/>
      <w:r>
        <w:t xml:space="preserve"> disposent d’un </w:t>
      </w:r>
      <w:r w:rsidRPr="00A850C5">
        <w:rPr>
          <w:b/>
          <w:bCs/>
          <w:color w:val="C00000"/>
        </w:rPr>
        <w:t>fort « </w:t>
      </w:r>
      <w:proofErr w:type="spellStart"/>
      <w:r w:rsidRPr="00A850C5">
        <w:rPr>
          <w:b/>
          <w:bCs/>
          <w:color w:val="C00000"/>
        </w:rPr>
        <w:t>pricing</w:t>
      </w:r>
      <w:proofErr w:type="spellEnd"/>
      <w:r w:rsidRPr="00A850C5">
        <w:rPr>
          <w:b/>
          <w:bCs/>
          <w:color w:val="C00000"/>
        </w:rPr>
        <w:t xml:space="preserve"> power »</w:t>
      </w:r>
      <w:r w:rsidRPr="00A850C5">
        <w:rPr>
          <w:color w:val="C00000"/>
        </w:rPr>
        <w:t xml:space="preserve"> </w:t>
      </w:r>
      <w:r>
        <w:t>c’est-à-dire d’une capacité à monter leurs prix sans que cela ait d’impact sur le volume de leurs ventes. On pense évidemment au luxe ou à la technologie.</w:t>
      </w:r>
    </w:p>
    <w:p w14:paraId="64C91CC3" w14:textId="1261420E" w:rsidR="001C2601" w:rsidRPr="00A850C5" w:rsidRDefault="001C2601" w:rsidP="007E33A8">
      <w:pPr>
        <w:spacing w:after="0"/>
        <w:jc w:val="both"/>
        <w:rPr>
          <w:sz w:val="16"/>
          <w:szCs w:val="16"/>
        </w:rPr>
      </w:pPr>
    </w:p>
    <w:p w14:paraId="69143940" w14:textId="508A6FA4" w:rsidR="001C2601" w:rsidRDefault="001C2601" w:rsidP="001C2601">
      <w:pPr>
        <w:spacing w:after="0"/>
        <w:ind w:left="426"/>
        <w:jc w:val="both"/>
      </w:pPr>
      <w:r>
        <w:t xml:space="preserve">Des fonds tels </w:t>
      </w:r>
      <w:proofErr w:type="spellStart"/>
      <w:r>
        <w:t>Amplegest</w:t>
      </w:r>
      <w:proofErr w:type="spellEnd"/>
      <w:r>
        <w:t xml:space="preserve"> Pricing Power (Europe) DNCA Global Leaders</w:t>
      </w:r>
      <w:r w:rsidR="004A24E5">
        <w:t xml:space="preserve"> ou Pictet Premium Brands,</w:t>
      </w:r>
      <w:r>
        <w:t xml:space="preserve"> ainsi que les fonds positionnés sur les petites et moyennes </w:t>
      </w:r>
      <w:r w:rsidR="00DC572B">
        <w:t xml:space="preserve">sociétés </w:t>
      </w:r>
      <w:r>
        <w:t>leaders sur leurs secteurs, sont à retenir dans ce cadre.</w:t>
      </w:r>
    </w:p>
    <w:p w14:paraId="3D6BCC99" w14:textId="77777777" w:rsidR="001C2601" w:rsidRPr="00A850C5" w:rsidRDefault="001C2601" w:rsidP="001C2601">
      <w:pPr>
        <w:spacing w:after="0"/>
        <w:ind w:left="426"/>
        <w:jc w:val="both"/>
        <w:rPr>
          <w:sz w:val="16"/>
          <w:szCs w:val="16"/>
        </w:rPr>
      </w:pPr>
    </w:p>
    <w:p w14:paraId="382FC510" w14:textId="63B7567A" w:rsidR="001C2601" w:rsidRDefault="00A9693A" w:rsidP="00A9693A">
      <w:pPr>
        <w:pStyle w:val="Paragraphedeliste"/>
        <w:numPr>
          <w:ilvl w:val="0"/>
          <w:numId w:val="36"/>
        </w:numPr>
        <w:spacing w:after="0"/>
        <w:ind w:left="426" w:hanging="284"/>
        <w:jc w:val="both"/>
      </w:pPr>
      <w:proofErr w:type="gramStart"/>
      <w:r>
        <w:t>q</w:t>
      </w:r>
      <w:r w:rsidR="001C2601">
        <w:t>ui</w:t>
      </w:r>
      <w:proofErr w:type="gramEnd"/>
      <w:r w:rsidR="001C2601">
        <w:t xml:space="preserve"> bénéficient de </w:t>
      </w:r>
      <w:r w:rsidR="001C2601" w:rsidRPr="00931BB6">
        <w:rPr>
          <w:b/>
          <w:bCs/>
          <w:color w:val="C00000"/>
        </w:rPr>
        <w:t>tendances porteuses</w:t>
      </w:r>
      <w:r w:rsidR="001C2601" w:rsidRPr="00931BB6">
        <w:rPr>
          <w:color w:val="C00000"/>
        </w:rPr>
        <w:t xml:space="preserve"> </w:t>
      </w:r>
      <w:r w:rsidR="001C2601">
        <w:t>que la crise a amplifiées : la digitalisation</w:t>
      </w:r>
      <w:r>
        <w:t xml:space="preserve"> de </w:t>
      </w:r>
      <w:r w:rsidR="004A24E5">
        <w:t xml:space="preserve">                </w:t>
      </w:r>
      <w:r>
        <w:t xml:space="preserve">l’ensemble des secteurs (dont l’intelligence </w:t>
      </w:r>
      <w:r w:rsidR="004A24E5">
        <w:t xml:space="preserve">    </w:t>
      </w:r>
      <w:r w:rsidR="00DE2EFB">
        <w:t>a</w:t>
      </w:r>
      <w:r>
        <w:t>rtificielle, la robotique)</w:t>
      </w:r>
      <w:r w:rsidR="001C2601">
        <w:t xml:space="preserve">, le besoin de sécurité, la santé, la transition écologique </w:t>
      </w:r>
      <w:r>
        <w:t>et énergétique notamment sont des méga-trends « séculaires » qui vont poursuivre leur forte croissance à horizon prévisible.</w:t>
      </w:r>
    </w:p>
    <w:p w14:paraId="019FCBBA" w14:textId="7635C428" w:rsidR="00A9693A" w:rsidRPr="00931BB6" w:rsidRDefault="00A9693A" w:rsidP="00A9693A">
      <w:pPr>
        <w:spacing w:after="0"/>
        <w:jc w:val="both"/>
        <w:rPr>
          <w:sz w:val="16"/>
          <w:szCs w:val="16"/>
        </w:rPr>
      </w:pPr>
    </w:p>
    <w:p w14:paraId="07B32E17" w14:textId="63A9B582" w:rsidR="00A9693A" w:rsidRDefault="00A9693A" w:rsidP="00A9693A">
      <w:pPr>
        <w:spacing w:after="0"/>
        <w:ind w:left="426"/>
        <w:jc w:val="both"/>
      </w:pPr>
      <w:r>
        <w:t xml:space="preserve">Les fonds thématiques de Pictet, </w:t>
      </w:r>
      <w:proofErr w:type="spellStart"/>
      <w:r>
        <w:t>Thématics</w:t>
      </w:r>
      <w:proofErr w:type="spellEnd"/>
      <w:r>
        <w:t xml:space="preserve">, Mandarine, Mirova, </w:t>
      </w:r>
      <w:proofErr w:type="spellStart"/>
      <w:r>
        <w:t>Fidelity</w:t>
      </w:r>
      <w:proofErr w:type="spellEnd"/>
      <w:r>
        <w:t xml:space="preserve">, </w:t>
      </w:r>
      <w:r w:rsidR="00931BB6">
        <w:t xml:space="preserve">Fin. </w:t>
      </w:r>
      <w:proofErr w:type="gramStart"/>
      <w:r w:rsidR="00931BB6">
        <w:t>de</w:t>
      </w:r>
      <w:proofErr w:type="gramEnd"/>
      <w:r w:rsidR="00931BB6">
        <w:t xml:space="preserve"> l’Echiquier</w:t>
      </w:r>
      <w:r w:rsidR="00DC572B">
        <w:t>, Rothschild (pour n’en citer que quelques</w:t>
      </w:r>
      <w:r w:rsidR="004A24E5">
        <w:t>-</w:t>
      </w:r>
      <w:r w:rsidR="00DC572B">
        <w:t>uns)</w:t>
      </w:r>
      <w:r>
        <w:t xml:space="preserve"> sont désormais très nombreux et permettent de capter ce</w:t>
      </w:r>
      <w:r w:rsidR="00DC572B">
        <w:t>s</w:t>
      </w:r>
      <w:r>
        <w:t xml:space="preserve"> dynamique</w:t>
      </w:r>
      <w:r w:rsidR="00DC572B">
        <w:t>s</w:t>
      </w:r>
      <w:r>
        <w:t xml:space="preserve"> puissante</w:t>
      </w:r>
      <w:r w:rsidR="00DC572B">
        <w:t>s</w:t>
      </w:r>
      <w:r>
        <w:t>.</w:t>
      </w:r>
    </w:p>
    <w:sectPr w:rsidR="00A9693A" w:rsidSect="003C7EF0">
      <w:type w:val="continuous"/>
      <w:pgSz w:w="11906" w:h="16838"/>
      <w:pgMar w:top="1418" w:right="851" w:bottom="1418" w:left="992" w:header="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48AD5" w14:textId="77777777" w:rsidR="00DA6A63" w:rsidRDefault="00DA6A63" w:rsidP="0098643B">
      <w:pPr>
        <w:spacing w:after="0" w:line="240" w:lineRule="auto"/>
      </w:pPr>
      <w:r>
        <w:separator/>
      </w:r>
    </w:p>
  </w:endnote>
  <w:endnote w:type="continuationSeparator" w:id="0">
    <w:p w14:paraId="20ED3BDC" w14:textId="77777777" w:rsidR="00DA6A63" w:rsidRDefault="00DA6A63" w:rsidP="009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B211" w14:textId="663236B4" w:rsidR="00CE3466" w:rsidRDefault="007B377E" w:rsidP="00C40225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1D3C02" wp14:editId="7394000D">
              <wp:simplePos x="0" y="0"/>
              <wp:positionH relativeFrom="page">
                <wp:posOffset>9525</wp:posOffset>
              </wp:positionH>
              <wp:positionV relativeFrom="paragraph">
                <wp:posOffset>95250</wp:posOffset>
              </wp:positionV>
              <wp:extent cx="7534275" cy="0"/>
              <wp:effectExtent l="0" t="0" r="28575" b="19050"/>
              <wp:wrapNone/>
              <wp:docPr id="27" name="Connecteur droi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tx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D041D5" id="Connecteur droit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7.5pt" to="59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" strokecolor="#44546a [3215]" strokeweight="2pt">
              <v:stroke joinstyle="miter"/>
              <w10:wrap anchorx="page"/>
            </v:line>
          </w:pict>
        </mc:Fallback>
      </mc:AlternateContent>
    </w:r>
  </w:p>
  <w:p w14:paraId="51EA096C" w14:textId="1AF1AED4" w:rsidR="00CE3466" w:rsidRPr="00C40225" w:rsidRDefault="00A438C7" w:rsidP="007B377E">
    <w:pPr>
      <w:pStyle w:val="Pieddepage"/>
      <w:rPr>
        <w:sz w:val="20"/>
        <w:szCs w:val="20"/>
      </w:rPr>
    </w:pPr>
    <w:r>
      <w:rPr>
        <w:sz w:val="20"/>
        <w:szCs w:val="20"/>
      </w:rPr>
      <w:t xml:space="preserve">SINDEL – 74 Avenue Gustave Flaubert </w:t>
    </w:r>
    <w:r w:rsidR="004915C6">
      <w:rPr>
        <w:sz w:val="20"/>
        <w:szCs w:val="20"/>
      </w:rPr>
      <w:t xml:space="preserve">- </w:t>
    </w:r>
    <w:r>
      <w:rPr>
        <w:sz w:val="20"/>
        <w:szCs w:val="20"/>
      </w:rPr>
      <w:t xml:space="preserve"> 76000 Rouen</w:t>
    </w:r>
    <w:r w:rsidR="00CE3466" w:rsidRPr="00C40225">
      <w:rPr>
        <w:sz w:val="20"/>
        <w:szCs w:val="20"/>
      </w:rPr>
      <w:t xml:space="preserve"> – Tel : </w:t>
    </w:r>
    <w:r>
      <w:rPr>
        <w:sz w:val="20"/>
        <w:szCs w:val="20"/>
      </w:rPr>
      <w:t>02 35 73 15 20</w:t>
    </w:r>
    <w:r w:rsidR="00CE3466" w:rsidRPr="00C40225">
      <w:rPr>
        <w:sz w:val="20"/>
        <w:szCs w:val="20"/>
      </w:rPr>
      <w:t xml:space="preserve"> – contact@</w:t>
    </w:r>
    <w:r>
      <w:rPr>
        <w:sz w:val="20"/>
        <w:szCs w:val="20"/>
      </w:rPr>
      <w:t>sindelsarl.fr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163CF" w14:textId="77777777" w:rsidR="00DA6A63" w:rsidRDefault="00DA6A63" w:rsidP="0098643B">
      <w:pPr>
        <w:spacing w:after="0" w:line="240" w:lineRule="auto"/>
      </w:pPr>
      <w:r>
        <w:separator/>
      </w:r>
    </w:p>
  </w:footnote>
  <w:footnote w:type="continuationSeparator" w:id="0">
    <w:p w14:paraId="77DB2D4E" w14:textId="77777777" w:rsidR="00DA6A63" w:rsidRDefault="00DA6A63" w:rsidP="009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24154" w14:textId="77777777" w:rsidR="00CE3466" w:rsidRDefault="00CC718F" w:rsidP="00BB44A8">
    <w:pPr>
      <w:pStyle w:val="En-tte"/>
      <w:ind w:left="-992"/>
    </w:pPr>
    <w:r w:rsidRPr="0098643B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25B14881" wp14:editId="0176C2D3">
          <wp:simplePos x="0" y="0"/>
          <wp:positionH relativeFrom="page">
            <wp:align>left</wp:align>
          </wp:positionH>
          <wp:positionV relativeFrom="paragraph">
            <wp:posOffset>-10795</wp:posOffset>
          </wp:positionV>
          <wp:extent cx="2762250" cy="1837690"/>
          <wp:effectExtent l="0" t="0" r="0" b="0"/>
          <wp:wrapThrough wrapText="bothSides">
            <wp:wrapPolygon edited="0">
              <wp:start x="0" y="0"/>
              <wp:lineTo x="0" y="21272"/>
              <wp:lineTo x="21451" y="21272"/>
              <wp:lineTo x="21451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e\Pictures\2016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83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46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883CCA" wp14:editId="07910FF1">
              <wp:simplePos x="0" y="0"/>
              <wp:positionH relativeFrom="column">
                <wp:posOffset>-629920</wp:posOffset>
              </wp:positionH>
              <wp:positionV relativeFrom="paragraph">
                <wp:posOffset>0</wp:posOffset>
              </wp:positionV>
              <wp:extent cx="7561580" cy="1847850"/>
              <wp:effectExtent l="0" t="0" r="1270" b="0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1580" cy="1847850"/>
                      </a:xfrm>
                      <a:prstGeom prst="rect">
                        <a:avLst/>
                      </a:prstGeom>
                      <a:solidFill>
                        <a:srgbClr val="6C8EA5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89636A" w14:textId="77777777" w:rsidR="00CE3466" w:rsidRDefault="00CE3466" w:rsidP="00522702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</w:p>
                        <w:p w14:paraId="3EB7DF1B" w14:textId="77777777" w:rsidR="00AA3D27" w:rsidRDefault="00AA3D27" w:rsidP="00AA3D27">
                          <w:pPr>
                            <w:ind w:right="362"/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52"/>
                              <w:szCs w:val="52"/>
                            </w:rPr>
                            <w:t>MARCHES FINANCIERS</w:t>
                          </w:r>
                        </w:p>
                        <w:p w14:paraId="0699A4A6" w14:textId="619BD69F" w:rsidR="00CE3466" w:rsidRDefault="004A24E5" w:rsidP="004A24E5">
                          <w:pPr>
                            <w:pStyle w:val="Sansinterligne"/>
                            <w:ind w:right="362"/>
                            <w:jc w:val="center"/>
                            <w:rPr>
                              <w:b/>
                              <w:i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i/>
                              <w:color w:val="FFFFFF" w:themeColor="background1"/>
                              <w:sz w:val="52"/>
                              <w:szCs w:val="52"/>
                            </w:rPr>
                            <w:t xml:space="preserve">                                       Bilan 2021 et perspectives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883CCA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26" type="#_x0000_t202" style="position:absolute;left:0;text-align:left;margin-left:-49.6pt;margin-top:0;width:595.4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" fillcolor="#6c8ea5" stroked="f" strokeweight=".5pt">
              <v:textbox>
                <w:txbxContent>
                  <w:p w14:paraId="7189636A" w14:textId="77777777" w:rsidR="00CE3466" w:rsidRDefault="00CE3466" w:rsidP="00522702">
                    <w:pPr>
                      <w:jc w:val="right"/>
                      <w:rPr>
                        <w:sz w:val="36"/>
                        <w:szCs w:val="36"/>
                      </w:rPr>
                    </w:pPr>
                  </w:p>
                  <w:p w14:paraId="3EB7DF1B" w14:textId="77777777" w:rsidR="00AA3D27" w:rsidRDefault="00AA3D27" w:rsidP="00AA3D27">
                    <w:pPr>
                      <w:ind w:right="362"/>
                      <w:jc w:val="right"/>
                      <w:rPr>
                        <w:b/>
                        <w:i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52"/>
                        <w:szCs w:val="52"/>
                      </w:rPr>
                      <w:t>MARCHES FINANCIERS</w:t>
                    </w:r>
                  </w:p>
                  <w:p w14:paraId="0699A4A6" w14:textId="619BD69F" w:rsidR="00CE3466" w:rsidRDefault="004A24E5" w:rsidP="004A24E5">
                    <w:pPr>
                      <w:pStyle w:val="Sansinterligne"/>
                      <w:ind w:right="362"/>
                      <w:jc w:val="center"/>
                      <w:rPr>
                        <w:b/>
                        <w:i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i/>
                        <w:color w:val="FFFFFF" w:themeColor="background1"/>
                        <w:sz w:val="52"/>
                        <w:szCs w:val="52"/>
                      </w:rPr>
                      <w:t xml:space="preserve">                                       Bilan 2021 et perspectives 2022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2E1"/>
    <w:multiLevelType w:val="hybridMultilevel"/>
    <w:tmpl w:val="1608A1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7454"/>
    <w:multiLevelType w:val="hybridMultilevel"/>
    <w:tmpl w:val="E3ACF30C"/>
    <w:lvl w:ilvl="0" w:tplc="F4341F8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A26"/>
    <w:multiLevelType w:val="hybridMultilevel"/>
    <w:tmpl w:val="C9682482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color w:val="BA3B47"/>
        <w:sz w:val="24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E755A49"/>
    <w:multiLevelType w:val="hybridMultilevel"/>
    <w:tmpl w:val="EED04C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F99"/>
    <w:multiLevelType w:val="hybridMultilevel"/>
    <w:tmpl w:val="DDFCB966"/>
    <w:lvl w:ilvl="0" w:tplc="16DC7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51751"/>
    <w:multiLevelType w:val="hybridMultilevel"/>
    <w:tmpl w:val="321E07EC"/>
    <w:lvl w:ilvl="0" w:tplc="06623C6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F040F"/>
    <w:multiLevelType w:val="hybridMultilevel"/>
    <w:tmpl w:val="A3289F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3B71"/>
    <w:multiLevelType w:val="hybridMultilevel"/>
    <w:tmpl w:val="475279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A1D1A"/>
    <w:multiLevelType w:val="hybridMultilevel"/>
    <w:tmpl w:val="F7A62DD8"/>
    <w:lvl w:ilvl="0" w:tplc="486CAC2E">
      <w:numFmt w:val="bullet"/>
      <w:lvlText w:val="-"/>
      <w:lvlJc w:val="left"/>
      <w:pPr>
        <w:ind w:left="513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1DA57CB6"/>
    <w:multiLevelType w:val="hybridMultilevel"/>
    <w:tmpl w:val="390011EE"/>
    <w:lvl w:ilvl="0" w:tplc="9878ACC6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48A6D54"/>
    <w:multiLevelType w:val="hybridMultilevel"/>
    <w:tmpl w:val="FDD438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0045"/>
    <w:multiLevelType w:val="hybridMultilevel"/>
    <w:tmpl w:val="0136BB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C71EF"/>
    <w:multiLevelType w:val="hybridMultilevel"/>
    <w:tmpl w:val="5C0CC8E4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E3527352"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876734E"/>
    <w:multiLevelType w:val="hybridMultilevel"/>
    <w:tmpl w:val="719AA7CA"/>
    <w:lvl w:ilvl="0" w:tplc="06623C64">
      <w:start w:val="1"/>
      <w:numFmt w:val="bullet"/>
      <w:lvlText w:val="-"/>
      <w:lvlJc w:val="left"/>
      <w:pPr>
        <w:ind w:left="873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287F3CD4"/>
    <w:multiLevelType w:val="hybridMultilevel"/>
    <w:tmpl w:val="BA4C69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774AA"/>
    <w:multiLevelType w:val="hybridMultilevel"/>
    <w:tmpl w:val="CB562C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C79F7"/>
    <w:multiLevelType w:val="hybridMultilevel"/>
    <w:tmpl w:val="96E6A0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5C1"/>
    <w:multiLevelType w:val="hybridMultilevel"/>
    <w:tmpl w:val="7A905892"/>
    <w:lvl w:ilvl="0" w:tplc="E5B26D28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DF508F"/>
    <w:multiLevelType w:val="hybridMultilevel"/>
    <w:tmpl w:val="A142F324"/>
    <w:lvl w:ilvl="0" w:tplc="7AF21DFE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E3527352"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26321BF"/>
    <w:multiLevelType w:val="hybridMultilevel"/>
    <w:tmpl w:val="C560800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00D60"/>
    <w:multiLevelType w:val="hybridMultilevel"/>
    <w:tmpl w:val="8DAA3A3E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BC73A7"/>
    <w:multiLevelType w:val="hybridMultilevel"/>
    <w:tmpl w:val="3924A2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50357"/>
    <w:multiLevelType w:val="hybridMultilevel"/>
    <w:tmpl w:val="BF7CA6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574CA"/>
    <w:multiLevelType w:val="hybridMultilevel"/>
    <w:tmpl w:val="9184EFA6"/>
    <w:lvl w:ilvl="0" w:tplc="16DC7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B0FA4"/>
    <w:multiLevelType w:val="hybridMultilevel"/>
    <w:tmpl w:val="5DAABA2A"/>
    <w:lvl w:ilvl="0" w:tplc="22C8DFC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color w:val="BA3B47"/>
        <w:sz w:val="24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5B52212D"/>
    <w:multiLevelType w:val="hybridMultilevel"/>
    <w:tmpl w:val="DED2C474"/>
    <w:lvl w:ilvl="0" w:tplc="9878ACC6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5ED84710"/>
    <w:multiLevelType w:val="hybridMultilevel"/>
    <w:tmpl w:val="FA9A86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41F8"/>
    <w:multiLevelType w:val="hybridMultilevel"/>
    <w:tmpl w:val="F2BA5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E187E"/>
    <w:multiLevelType w:val="hybridMultilevel"/>
    <w:tmpl w:val="973EB1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54302"/>
    <w:multiLevelType w:val="hybridMultilevel"/>
    <w:tmpl w:val="679660C2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color w:val="BA3B47"/>
        <w:sz w:val="24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E4A4D13"/>
    <w:multiLevelType w:val="hybridMultilevel"/>
    <w:tmpl w:val="39B68CDA"/>
    <w:lvl w:ilvl="0" w:tplc="040C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1" w15:restartNumberingAfterBreak="0">
    <w:nsid w:val="6EC5562A"/>
    <w:multiLevelType w:val="hybridMultilevel"/>
    <w:tmpl w:val="AD2845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84F63"/>
    <w:multiLevelType w:val="hybridMultilevel"/>
    <w:tmpl w:val="B0E490B8"/>
    <w:lvl w:ilvl="0" w:tplc="040C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3B35A01"/>
    <w:multiLevelType w:val="hybridMultilevel"/>
    <w:tmpl w:val="1CE4B822"/>
    <w:lvl w:ilvl="0" w:tplc="7AF21DF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F25FE0"/>
    <w:multiLevelType w:val="hybridMultilevel"/>
    <w:tmpl w:val="A198B1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D4DEE"/>
    <w:multiLevelType w:val="hybridMultilevel"/>
    <w:tmpl w:val="B8E268B4"/>
    <w:lvl w:ilvl="0" w:tplc="9878AC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87FF7"/>
    <w:multiLevelType w:val="hybridMultilevel"/>
    <w:tmpl w:val="16E82E3C"/>
    <w:lvl w:ilvl="0" w:tplc="7AF21DFE">
      <w:start w:val="1"/>
      <w:numFmt w:val="bullet"/>
      <w:lvlText w:val="-"/>
      <w:lvlJc w:val="left"/>
      <w:pPr>
        <w:ind w:left="42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"/>
  </w:num>
  <w:num w:numId="5">
    <w:abstractNumId w:val="25"/>
  </w:num>
  <w:num w:numId="6">
    <w:abstractNumId w:val="5"/>
  </w:num>
  <w:num w:numId="7">
    <w:abstractNumId w:val="35"/>
  </w:num>
  <w:num w:numId="8">
    <w:abstractNumId w:val="13"/>
  </w:num>
  <w:num w:numId="9">
    <w:abstractNumId w:val="9"/>
  </w:num>
  <w:num w:numId="10">
    <w:abstractNumId w:val="32"/>
  </w:num>
  <w:num w:numId="11">
    <w:abstractNumId w:val="23"/>
  </w:num>
  <w:num w:numId="12">
    <w:abstractNumId w:val="4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6"/>
  </w:num>
  <w:num w:numId="18">
    <w:abstractNumId w:val="26"/>
  </w:num>
  <w:num w:numId="19">
    <w:abstractNumId w:val="14"/>
  </w:num>
  <w:num w:numId="20">
    <w:abstractNumId w:val="28"/>
  </w:num>
  <w:num w:numId="21">
    <w:abstractNumId w:val="31"/>
  </w:num>
  <w:num w:numId="22">
    <w:abstractNumId w:val="21"/>
  </w:num>
  <w:num w:numId="23">
    <w:abstractNumId w:val="16"/>
  </w:num>
  <w:num w:numId="24">
    <w:abstractNumId w:val="17"/>
  </w:num>
  <w:num w:numId="25">
    <w:abstractNumId w:val="15"/>
  </w:num>
  <w:num w:numId="26">
    <w:abstractNumId w:val="34"/>
  </w:num>
  <w:num w:numId="27">
    <w:abstractNumId w:val="22"/>
  </w:num>
  <w:num w:numId="28">
    <w:abstractNumId w:val="12"/>
  </w:num>
  <w:num w:numId="29">
    <w:abstractNumId w:val="18"/>
  </w:num>
  <w:num w:numId="30">
    <w:abstractNumId w:val="36"/>
  </w:num>
  <w:num w:numId="31">
    <w:abstractNumId w:val="33"/>
  </w:num>
  <w:num w:numId="32">
    <w:abstractNumId w:val="19"/>
  </w:num>
  <w:num w:numId="33">
    <w:abstractNumId w:val="10"/>
  </w:num>
  <w:num w:numId="34">
    <w:abstractNumId w:val="27"/>
  </w:num>
  <w:num w:numId="35">
    <w:abstractNumId w:val="30"/>
  </w:num>
  <w:num w:numId="36">
    <w:abstractNumId w:val="2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3B"/>
    <w:rsid w:val="0000088A"/>
    <w:rsid w:val="0000510F"/>
    <w:rsid w:val="00006F43"/>
    <w:rsid w:val="00050AAB"/>
    <w:rsid w:val="00064922"/>
    <w:rsid w:val="00074F95"/>
    <w:rsid w:val="00085A77"/>
    <w:rsid w:val="00087A2F"/>
    <w:rsid w:val="000A3D72"/>
    <w:rsid w:val="000C58F2"/>
    <w:rsid w:val="000D1CE4"/>
    <w:rsid w:val="000E271A"/>
    <w:rsid w:val="000F725E"/>
    <w:rsid w:val="00101F2F"/>
    <w:rsid w:val="00102FC7"/>
    <w:rsid w:val="0011753D"/>
    <w:rsid w:val="00117EA3"/>
    <w:rsid w:val="00131673"/>
    <w:rsid w:val="001514E8"/>
    <w:rsid w:val="00152A4F"/>
    <w:rsid w:val="001703B0"/>
    <w:rsid w:val="001C2601"/>
    <w:rsid w:val="001C26AE"/>
    <w:rsid w:val="001E7187"/>
    <w:rsid w:val="001F0C58"/>
    <w:rsid w:val="00240060"/>
    <w:rsid w:val="002802D9"/>
    <w:rsid w:val="002A284E"/>
    <w:rsid w:val="002A34FE"/>
    <w:rsid w:val="002A4489"/>
    <w:rsid w:val="002B21C6"/>
    <w:rsid w:val="002B6784"/>
    <w:rsid w:val="002F3FC8"/>
    <w:rsid w:val="00303331"/>
    <w:rsid w:val="00307B61"/>
    <w:rsid w:val="00326A18"/>
    <w:rsid w:val="003375E8"/>
    <w:rsid w:val="003501C4"/>
    <w:rsid w:val="003664CE"/>
    <w:rsid w:val="00392E08"/>
    <w:rsid w:val="003B55B7"/>
    <w:rsid w:val="003C2116"/>
    <w:rsid w:val="003C2CFA"/>
    <w:rsid w:val="003C7EF0"/>
    <w:rsid w:val="003D1288"/>
    <w:rsid w:val="003F01CF"/>
    <w:rsid w:val="00410A6B"/>
    <w:rsid w:val="00415329"/>
    <w:rsid w:val="004157E1"/>
    <w:rsid w:val="00427B6D"/>
    <w:rsid w:val="00445784"/>
    <w:rsid w:val="004609A6"/>
    <w:rsid w:val="00477659"/>
    <w:rsid w:val="004915C6"/>
    <w:rsid w:val="00492BC1"/>
    <w:rsid w:val="004A24E5"/>
    <w:rsid w:val="004A413D"/>
    <w:rsid w:val="004B023B"/>
    <w:rsid w:val="004B1F66"/>
    <w:rsid w:val="004E23AE"/>
    <w:rsid w:val="00507E6B"/>
    <w:rsid w:val="005104E1"/>
    <w:rsid w:val="00520150"/>
    <w:rsid w:val="00522702"/>
    <w:rsid w:val="005544E0"/>
    <w:rsid w:val="00577CFE"/>
    <w:rsid w:val="00580BF7"/>
    <w:rsid w:val="00593647"/>
    <w:rsid w:val="005A0D13"/>
    <w:rsid w:val="005B3B49"/>
    <w:rsid w:val="005C3043"/>
    <w:rsid w:val="00600C2E"/>
    <w:rsid w:val="00612CF6"/>
    <w:rsid w:val="00635AFF"/>
    <w:rsid w:val="00640539"/>
    <w:rsid w:val="00664DF3"/>
    <w:rsid w:val="00677E58"/>
    <w:rsid w:val="006B5F6B"/>
    <w:rsid w:val="006C38D0"/>
    <w:rsid w:val="006D725B"/>
    <w:rsid w:val="006E7C7F"/>
    <w:rsid w:val="006F18B8"/>
    <w:rsid w:val="007139DE"/>
    <w:rsid w:val="00715964"/>
    <w:rsid w:val="0077521D"/>
    <w:rsid w:val="007823E6"/>
    <w:rsid w:val="007B377E"/>
    <w:rsid w:val="007E33A8"/>
    <w:rsid w:val="007E49B7"/>
    <w:rsid w:val="007E7F58"/>
    <w:rsid w:val="007F2588"/>
    <w:rsid w:val="007F4C4A"/>
    <w:rsid w:val="00805D51"/>
    <w:rsid w:val="00824320"/>
    <w:rsid w:val="00846AA5"/>
    <w:rsid w:val="00866AC8"/>
    <w:rsid w:val="008759D7"/>
    <w:rsid w:val="00887F6D"/>
    <w:rsid w:val="008A09FE"/>
    <w:rsid w:val="008E0150"/>
    <w:rsid w:val="008F7D7C"/>
    <w:rsid w:val="0091598A"/>
    <w:rsid w:val="00921B8B"/>
    <w:rsid w:val="00931027"/>
    <w:rsid w:val="00931BB6"/>
    <w:rsid w:val="009778FE"/>
    <w:rsid w:val="0098643B"/>
    <w:rsid w:val="009953E1"/>
    <w:rsid w:val="009B0129"/>
    <w:rsid w:val="009B3247"/>
    <w:rsid w:val="009B58B0"/>
    <w:rsid w:val="00A12728"/>
    <w:rsid w:val="00A438C7"/>
    <w:rsid w:val="00A54BFF"/>
    <w:rsid w:val="00A850C5"/>
    <w:rsid w:val="00A9693A"/>
    <w:rsid w:val="00AA3D27"/>
    <w:rsid w:val="00AB5406"/>
    <w:rsid w:val="00AB5663"/>
    <w:rsid w:val="00AB7C9B"/>
    <w:rsid w:val="00AD70F8"/>
    <w:rsid w:val="00AD72A0"/>
    <w:rsid w:val="00B03F8F"/>
    <w:rsid w:val="00B24CFA"/>
    <w:rsid w:val="00B42222"/>
    <w:rsid w:val="00B44459"/>
    <w:rsid w:val="00B44650"/>
    <w:rsid w:val="00B526F1"/>
    <w:rsid w:val="00BB17E6"/>
    <w:rsid w:val="00BB44A8"/>
    <w:rsid w:val="00BE70F5"/>
    <w:rsid w:val="00BF769A"/>
    <w:rsid w:val="00C076A1"/>
    <w:rsid w:val="00C12C1B"/>
    <w:rsid w:val="00C40225"/>
    <w:rsid w:val="00C412A3"/>
    <w:rsid w:val="00C7766D"/>
    <w:rsid w:val="00C829C5"/>
    <w:rsid w:val="00C918AC"/>
    <w:rsid w:val="00CB340D"/>
    <w:rsid w:val="00CC718F"/>
    <w:rsid w:val="00CE3466"/>
    <w:rsid w:val="00D00FD9"/>
    <w:rsid w:val="00D22A81"/>
    <w:rsid w:val="00D271BA"/>
    <w:rsid w:val="00D57EA1"/>
    <w:rsid w:val="00D66E0C"/>
    <w:rsid w:val="00D86109"/>
    <w:rsid w:val="00D92BCB"/>
    <w:rsid w:val="00DA6A63"/>
    <w:rsid w:val="00DA7E73"/>
    <w:rsid w:val="00DB70AC"/>
    <w:rsid w:val="00DC53DF"/>
    <w:rsid w:val="00DC572B"/>
    <w:rsid w:val="00DE2EFB"/>
    <w:rsid w:val="00E53D08"/>
    <w:rsid w:val="00E54889"/>
    <w:rsid w:val="00E95FE3"/>
    <w:rsid w:val="00EA6E6E"/>
    <w:rsid w:val="00EC7A8E"/>
    <w:rsid w:val="00ED183F"/>
    <w:rsid w:val="00ED3D85"/>
    <w:rsid w:val="00ED429D"/>
    <w:rsid w:val="00F055F7"/>
    <w:rsid w:val="00F679D2"/>
    <w:rsid w:val="00F7547F"/>
    <w:rsid w:val="00FA721C"/>
    <w:rsid w:val="00FC14DD"/>
    <w:rsid w:val="00FD092A"/>
    <w:rsid w:val="00FD0C72"/>
    <w:rsid w:val="00FD3280"/>
    <w:rsid w:val="00FD614D"/>
    <w:rsid w:val="00FF565F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195F4"/>
  <w15:chartTrackingRefBased/>
  <w15:docId w15:val="{9869C3D1-9F05-4194-BC1E-E8350D94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643B"/>
  </w:style>
  <w:style w:type="paragraph" w:styleId="Pieddepage">
    <w:name w:val="footer"/>
    <w:basedOn w:val="Normal"/>
    <w:link w:val="PieddepageCar"/>
    <w:uiPriority w:val="99"/>
    <w:unhideWhenUsed/>
    <w:rsid w:val="009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643B"/>
  </w:style>
  <w:style w:type="table" w:styleId="Grilledutableau">
    <w:name w:val="Table Grid"/>
    <w:basedOn w:val="TableauNormal"/>
    <w:uiPriority w:val="39"/>
    <w:rsid w:val="004E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3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67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53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05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ASFID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A3B47"/>
      </a:accent1>
      <a:accent2>
        <a:srgbClr val="374C5B"/>
      </a:accent2>
      <a:accent3>
        <a:srgbClr val="6C8EA5"/>
      </a:accent3>
      <a:accent4>
        <a:srgbClr val="CFCFCF"/>
      </a:accent4>
      <a:accent5>
        <a:srgbClr val="74192A"/>
      </a:accent5>
      <a:accent6>
        <a:srgbClr val="A5A5A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Phil Sindel</cp:lastModifiedBy>
  <cp:revision>2</cp:revision>
  <cp:lastPrinted>2020-01-06T10:08:00Z</cp:lastPrinted>
  <dcterms:created xsi:type="dcterms:W3CDTF">2022-01-24T11:31:00Z</dcterms:created>
  <dcterms:modified xsi:type="dcterms:W3CDTF">2022-01-24T11:31:00Z</dcterms:modified>
</cp:coreProperties>
</file>